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3B306" w14:textId="77777777" w:rsidR="00E21BAF" w:rsidRDefault="00E21BAF"/>
    <w:tbl>
      <w:tblPr>
        <w:tblStyle w:val="Grilledutableau"/>
        <w:tblW w:w="0" w:type="auto"/>
        <w:jc w:val="center"/>
        <w:tblLook w:val="04A0" w:firstRow="1" w:lastRow="0" w:firstColumn="1" w:lastColumn="0" w:noHBand="0" w:noVBand="1"/>
      </w:tblPr>
      <w:tblGrid>
        <w:gridCol w:w="9911"/>
      </w:tblGrid>
      <w:tr w:rsidR="00E2112C" w14:paraId="4CC5C7A3" w14:textId="77777777" w:rsidTr="00015B71">
        <w:trPr>
          <w:jc w:val="center"/>
        </w:trPr>
        <w:tc>
          <w:tcPr>
            <w:tcW w:w="9911" w:type="dxa"/>
          </w:tcPr>
          <w:p w14:paraId="65894652" w14:textId="77777777" w:rsidR="00E2112C" w:rsidRPr="007B4DFD" w:rsidRDefault="00E2112C" w:rsidP="00E2112C">
            <w:pPr>
              <w:jc w:val="center"/>
              <w:rPr>
                <w:rFonts w:ascii="Arial" w:hAnsi="Arial" w:cs="Arial"/>
                <w:b/>
                <w:sz w:val="24"/>
                <w:szCs w:val="24"/>
              </w:rPr>
            </w:pPr>
            <w:r w:rsidRPr="007B4DFD">
              <w:rPr>
                <w:rFonts w:ascii="DINOT-Bold" w:hAnsi="DINOT-Bold"/>
                <w:noProof/>
                <w:sz w:val="20"/>
                <w:szCs w:val="20"/>
                <w:lang w:eastAsia="fr-FR"/>
              </w:rPr>
              <w:drawing>
                <wp:anchor distT="0" distB="0" distL="114300" distR="114300" simplePos="0" relativeHeight="251659264" behindDoc="0" locked="0" layoutInCell="1" allowOverlap="1" wp14:anchorId="49A88A06" wp14:editId="61C3DDF9">
                  <wp:simplePos x="0" y="0"/>
                  <wp:positionH relativeFrom="margin">
                    <wp:posOffset>-180340</wp:posOffset>
                  </wp:positionH>
                  <wp:positionV relativeFrom="margin">
                    <wp:posOffset>-66040</wp:posOffset>
                  </wp:positionV>
                  <wp:extent cx="2206625" cy="1018540"/>
                  <wp:effectExtent l="0" t="0" r="317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6625" cy="1018540"/>
                          </a:xfrm>
                          <a:prstGeom prst="rect">
                            <a:avLst/>
                          </a:prstGeom>
                          <a:noFill/>
                        </pic:spPr>
                      </pic:pic>
                    </a:graphicData>
                  </a:graphic>
                  <wp14:sizeRelH relativeFrom="margin">
                    <wp14:pctWidth>0</wp14:pctWidth>
                  </wp14:sizeRelH>
                  <wp14:sizeRelV relativeFrom="margin">
                    <wp14:pctHeight>0</wp14:pctHeight>
                  </wp14:sizeRelV>
                </wp:anchor>
              </w:drawing>
            </w:r>
          </w:p>
          <w:p w14:paraId="5E5B9CB7" w14:textId="77777777" w:rsidR="00E2112C" w:rsidRPr="007B4DFD" w:rsidRDefault="00E2112C" w:rsidP="00E2112C">
            <w:pPr>
              <w:rPr>
                <w:rFonts w:ascii="Arial" w:hAnsi="Arial" w:cs="Arial"/>
                <w:b/>
              </w:rPr>
            </w:pPr>
            <w:r>
              <w:rPr>
                <w:rFonts w:ascii="Arial" w:hAnsi="Arial" w:cs="Arial"/>
                <w:b/>
                <w:bCs/>
                <w:noProof/>
                <w:sz w:val="21"/>
                <w:szCs w:val="21"/>
                <w:lang w:eastAsia="fr-FR"/>
              </w:rPr>
              <w:drawing>
                <wp:anchor distT="0" distB="0" distL="114300" distR="114300" simplePos="0" relativeHeight="251660288" behindDoc="0" locked="0" layoutInCell="1" allowOverlap="1" wp14:anchorId="32277279" wp14:editId="4D2783FD">
                  <wp:simplePos x="0" y="0"/>
                  <wp:positionH relativeFrom="margin">
                    <wp:align>right</wp:align>
                  </wp:positionH>
                  <wp:positionV relativeFrom="margin">
                    <wp:posOffset>384606</wp:posOffset>
                  </wp:positionV>
                  <wp:extent cx="2484120" cy="487680"/>
                  <wp:effectExtent l="0" t="0" r="0"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QU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4120" cy="487680"/>
                          </a:xfrm>
                          <a:prstGeom prst="rect">
                            <a:avLst/>
                          </a:prstGeom>
                        </pic:spPr>
                      </pic:pic>
                    </a:graphicData>
                  </a:graphic>
                  <wp14:sizeRelH relativeFrom="page">
                    <wp14:pctWidth>0</wp14:pctWidth>
                  </wp14:sizeRelH>
                  <wp14:sizeRelV relativeFrom="page">
                    <wp14:pctHeight>0</wp14:pctHeight>
                  </wp14:sizeRelV>
                </wp:anchor>
              </w:drawing>
            </w:r>
            <w:r w:rsidRPr="007B4DFD">
              <w:rPr>
                <w:rFonts w:ascii="Arial" w:hAnsi="Arial" w:cs="Arial"/>
                <w:b/>
                <w:sz w:val="24"/>
                <w:szCs w:val="24"/>
              </w:rPr>
              <w:br/>
            </w:r>
          </w:p>
          <w:p w14:paraId="7B980C04" w14:textId="69E6C867" w:rsidR="00E2112C" w:rsidRDefault="00E2112C" w:rsidP="00E2112C">
            <w:pPr>
              <w:rPr>
                <w:rFonts w:ascii="Arial" w:hAnsi="Arial" w:cs="Arial"/>
                <w:b/>
              </w:rPr>
            </w:pPr>
          </w:p>
          <w:p w14:paraId="55A2FA53" w14:textId="36FB5C0C" w:rsidR="00E21BAF" w:rsidRDefault="00E21BAF" w:rsidP="00E2112C">
            <w:pPr>
              <w:rPr>
                <w:rFonts w:ascii="Arial" w:hAnsi="Arial" w:cs="Arial"/>
                <w:b/>
              </w:rPr>
            </w:pPr>
          </w:p>
          <w:p w14:paraId="64071AD0" w14:textId="77777777" w:rsidR="00E21BAF" w:rsidRPr="007B4DFD" w:rsidRDefault="00E21BAF" w:rsidP="00E2112C">
            <w:pPr>
              <w:rPr>
                <w:rFonts w:ascii="Arial" w:hAnsi="Arial" w:cs="Arial"/>
                <w:b/>
              </w:rPr>
            </w:pPr>
          </w:p>
          <w:p w14:paraId="60507608" w14:textId="77777777" w:rsidR="00E21BAF" w:rsidRDefault="00E2112C" w:rsidP="00E2112C">
            <w:pPr>
              <w:rPr>
                <w:rFonts w:ascii="Arial" w:hAnsi="Arial" w:cs="Arial"/>
                <w:b/>
                <w:sz w:val="24"/>
                <w:szCs w:val="24"/>
                <w:lang w:val="en-GB"/>
              </w:rPr>
            </w:pPr>
            <w:r w:rsidRPr="00814835">
              <w:rPr>
                <w:rFonts w:ascii="Arial" w:hAnsi="Arial" w:cs="Arial"/>
                <w:b/>
                <w:sz w:val="6"/>
                <w:szCs w:val="6"/>
                <w:lang w:val="en-GB"/>
              </w:rPr>
              <w:br/>
            </w:r>
          </w:p>
          <w:p w14:paraId="1311F91B" w14:textId="56D9103A" w:rsidR="00E2112C" w:rsidRDefault="00E2112C" w:rsidP="00E2112C">
            <w:pPr>
              <w:rPr>
                <w:rFonts w:ascii="Arial" w:hAnsi="Arial" w:cs="Arial"/>
                <w:sz w:val="18"/>
                <w:szCs w:val="18"/>
                <w:lang w:val="en-GB"/>
              </w:rPr>
            </w:pPr>
            <w:r w:rsidRPr="00814835">
              <w:rPr>
                <w:rFonts w:ascii="Arial" w:hAnsi="Arial" w:cs="Arial"/>
                <w:b/>
                <w:sz w:val="24"/>
                <w:szCs w:val="24"/>
                <w:lang w:val="en-GB"/>
              </w:rPr>
              <w:t>PRESS RELEASE</w:t>
            </w:r>
            <w:r w:rsidRPr="00814835">
              <w:rPr>
                <w:rFonts w:ascii="Arial" w:hAnsi="Arial" w:cs="Arial"/>
                <w:b/>
                <w:sz w:val="24"/>
                <w:szCs w:val="24"/>
                <w:lang w:val="en-GB"/>
              </w:rPr>
              <w:br/>
            </w:r>
            <w:r w:rsidRPr="00814835">
              <w:rPr>
                <w:rFonts w:ascii="Arial" w:hAnsi="Arial" w:cs="Arial"/>
                <w:sz w:val="20"/>
                <w:szCs w:val="20"/>
                <w:lang w:val="en-GB"/>
              </w:rPr>
              <w:t>Paris-Saclay, July 30</w:t>
            </w:r>
            <w:r>
              <w:rPr>
                <w:rFonts w:ascii="Arial" w:hAnsi="Arial" w:cs="Arial"/>
                <w:sz w:val="20"/>
                <w:szCs w:val="20"/>
                <w:lang w:val="en-GB"/>
              </w:rPr>
              <w:t xml:space="preserve">, </w:t>
            </w:r>
            <w:r w:rsidRPr="00814835">
              <w:rPr>
                <w:rFonts w:ascii="Arial" w:hAnsi="Arial" w:cs="Arial"/>
                <w:sz w:val="20"/>
                <w:szCs w:val="20"/>
                <w:lang w:val="en-GB"/>
              </w:rPr>
              <w:t>2020</w:t>
            </w:r>
            <w:r w:rsidRPr="00814835">
              <w:rPr>
                <w:rFonts w:ascii="Arial" w:hAnsi="Arial" w:cs="Arial"/>
                <w:sz w:val="20"/>
                <w:szCs w:val="20"/>
                <w:lang w:val="en-GB"/>
              </w:rPr>
              <w:br/>
            </w:r>
          </w:p>
          <w:p w14:paraId="7E207AD3" w14:textId="77777777" w:rsidR="00E21BAF" w:rsidRPr="00814835" w:rsidRDefault="00E21BAF" w:rsidP="00E2112C">
            <w:pPr>
              <w:rPr>
                <w:rFonts w:ascii="Arial" w:hAnsi="Arial" w:cs="Arial"/>
                <w:sz w:val="18"/>
                <w:szCs w:val="18"/>
                <w:lang w:val="en-GB"/>
              </w:rPr>
            </w:pPr>
          </w:p>
          <w:p w14:paraId="338E39D5" w14:textId="77777777" w:rsidR="00E2112C" w:rsidRPr="0019079F" w:rsidRDefault="00E2112C" w:rsidP="00E2112C">
            <w:pPr>
              <w:spacing w:before="100" w:beforeAutospacing="1" w:after="100" w:afterAutospacing="1"/>
              <w:jc w:val="center"/>
              <w:outlineLvl w:val="0"/>
              <w:rPr>
                <w:rFonts w:ascii="Arial" w:eastAsia="Times New Roman" w:hAnsi="Arial" w:cs="Arial"/>
                <w:b/>
                <w:bCs/>
                <w:kern w:val="36"/>
                <w:sz w:val="28"/>
                <w:szCs w:val="28"/>
                <w:lang w:val="en-GB" w:eastAsia="fr-FR"/>
              </w:rPr>
            </w:pPr>
            <w:r w:rsidRPr="0019079F">
              <w:rPr>
                <w:rFonts w:ascii="Arial" w:eastAsia="Times New Roman" w:hAnsi="Arial" w:cs="Arial"/>
                <w:b/>
                <w:bCs/>
                <w:kern w:val="36"/>
                <w:sz w:val="28"/>
                <w:szCs w:val="28"/>
                <w:lang w:val="en-GB" w:eastAsia="fr-FR"/>
              </w:rPr>
              <w:t>Asthma not a compounding factor for COVID-19 cases</w:t>
            </w:r>
          </w:p>
          <w:p w14:paraId="724D5C9E" w14:textId="6680DDD8" w:rsidR="00E2112C" w:rsidRPr="0019079F" w:rsidRDefault="00E21BAF" w:rsidP="00E21BAF">
            <w:pPr>
              <w:spacing w:line="259" w:lineRule="auto"/>
              <w:jc w:val="both"/>
              <w:rPr>
                <w:rFonts w:ascii="Arial" w:hAnsi="Arial" w:cs="Arial"/>
                <w:b/>
                <w:bCs/>
                <w:color w:val="62003C"/>
                <w:sz w:val="24"/>
                <w:lang w:val="en-GB"/>
              </w:rPr>
            </w:pPr>
            <w:r>
              <w:rPr>
                <w:rFonts w:ascii="Arial" w:hAnsi="Arial" w:cs="Arial"/>
                <w:b/>
                <w:bCs/>
                <w:color w:val="62003C"/>
                <w:sz w:val="24"/>
                <w:lang w:val="en-GB"/>
              </w:rPr>
              <w:t xml:space="preserve">A </w:t>
            </w:r>
            <w:r w:rsidR="00E2112C" w:rsidRPr="0019079F">
              <w:rPr>
                <w:rFonts w:ascii="Arial" w:hAnsi="Arial" w:cs="Arial"/>
                <w:b/>
                <w:bCs/>
                <w:color w:val="62003C"/>
                <w:sz w:val="24"/>
                <w:lang w:val="en-GB"/>
              </w:rPr>
              <w:t xml:space="preserve">study carried out by researchers at </w:t>
            </w:r>
            <w:proofErr w:type="spellStart"/>
            <w:r w:rsidR="00E2112C" w:rsidRPr="0019079F">
              <w:rPr>
                <w:rFonts w:ascii="Arial" w:hAnsi="Arial" w:cs="Arial"/>
                <w:b/>
                <w:bCs/>
                <w:color w:val="62003C"/>
                <w:sz w:val="24"/>
                <w:lang w:val="en-GB"/>
              </w:rPr>
              <w:t>Bicêtre</w:t>
            </w:r>
            <w:proofErr w:type="spellEnd"/>
            <w:r w:rsidR="00E2112C" w:rsidRPr="0019079F">
              <w:rPr>
                <w:rFonts w:ascii="Arial" w:hAnsi="Arial" w:cs="Arial"/>
                <w:b/>
                <w:bCs/>
                <w:color w:val="62003C"/>
                <w:sz w:val="24"/>
                <w:lang w:val="en-GB"/>
              </w:rPr>
              <w:t xml:space="preserve"> Hospital, Assistance </w:t>
            </w:r>
            <w:proofErr w:type="spellStart"/>
            <w:r w:rsidR="00E2112C" w:rsidRPr="0019079F">
              <w:rPr>
                <w:rFonts w:ascii="Arial" w:hAnsi="Arial" w:cs="Arial"/>
                <w:b/>
                <w:bCs/>
                <w:color w:val="62003C"/>
                <w:sz w:val="24"/>
                <w:lang w:val="en-GB"/>
              </w:rPr>
              <w:t>Publique-Hôpitaux</w:t>
            </w:r>
            <w:proofErr w:type="spellEnd"/>
            <w:r w:rsidR="00E2112C" w:rsidRPr="0019079F">
              <w:rPr>
                <w:rFonts w:ascii="Arial" w:hAnsi="Arial" w:cs="Arial"/>
                <w:b/>
                <w:bCs/>
                <w:color w:val="62003C"/>
                <w:sz w:val="24"/>
                <w:lang w:val="en-GB"/>
              </w:rPr>
              <w:t xml:space="preserve"> de Paris / Université Paris-Saclay on a cohort of patients hospitalized for COVID-19 pneumonia has shown that asthmatics do not present an increased risk of developing a severe form of the disease. The research was published in the European Respiratory Journal </w:t>
            </w:r>
            <w:r w:rsidR="00060F1C">
              <w:rPr>
                <w:rFonts w:ascii="Arial" w:hAnsi="Arial" w:cs="Arial"/>
                <w:b/>
                <w:bCs/>
                <w:color w:val="62003C"/>
                <w:sz w:val="24"/>
                <w:lang w:val="en-GB"/>
              </w:rPr>
              <w:t xml:space="preserve">on Monday July 30, </w:t>
            </w:r>
            <w:bookmarkStart w:id="0" w:name="_GoBack"/>
            <w:bookmarkEnd w:id="0"/>
            <w:r w:rsidR="00E2112C" w:rsidRPr="0019079F">
              <w:rPr>
                <w:rFonts w:ascii="Arial" w:hAnsi="Arial" w:cs="Arial"/>
                <w:b/>
                <w:bCs/>
                <w:color w:val="62003C"/>
                <w:sz w:val="24"/>
                <w:lang w:val="en-GB"/>
              </w:rPr>
              <w:t>2020.</w:t>
            </w:r>
          </w:p>
          <w:p w14:paraId="255E05E0" w14:textId="77777777" w:rsidR="00F3671D" w:rsidRPr="00F3671D" w:rsidRDefault="00E2112C" w:rsidP="00F3671D">
            <w:pPr>
              <w:rPr>
                <w:rFonts w:ascii="Arial" w:eastAsia="Times New Roman" w:hAnsi="Arial" w:cs="Arial"/>
                <w:szCs w:val="24"/>
                <w:lang w:val="en-GB" w:eastAsia="fr-FR"/>
              </w:rPr>
            </w:pPr>
            <w:r w:rsidRPr="00F3671D">
              <w:rPr>
                <w:rFonts w:ascii="Arial" w:eastAsia="Times New Roman" w:hAnsi="Arial" w:cs="Arial"/>
                <w:szCs w:val="24"/>
                <w:lang w:val="en-GB" w:eastAsia="fr-FR"/>
              </w:rPr>
              <w:br/>
            </w:r>
            <w:r w:rsidR="00F3671D" w:rsidRPr="00F3671D">
              <w:rPr>
                <w:rFonts w:ascii="Arial" w:eastAsia="Times New Roman" w:hAnsi="Arial" w:cs="Arial"/>
                <w:szCs w:val="24"/>
                <w:lang w:val="en-GB" w:eastAsia="fr-FR"/>
              </w:rPr>
              <w:t xml:space="preserve">Infections related to respiratory tropism viruses (rhinovirus, respiratory syncytial virus, influenza viruses, etc.) are the main cause of asthma exacerbation and may be associated with severe respiratory episodes in asthmatic patients. Several pathophysiological mechanisms have been put forward to explain this susceptibility to viral infections in asthmatics, first and foremost the role of type 2 inflammation (characterized by a predominant production of interleukins 4, 5 and 13, which promote eosinophilic and allergic reactions), which is believed to reduce innate immune responses and particularly the synthesis of the various types of interferons essential to the antiviral response. </w:t>
            </w:r>
          </w:p>
          <w:p w14:paraId="09AFEF3B" w14:textId="23143912" w:rsidR="00AE3E80" w:rsidRPr="00F3671D" w:rsidRDefault="00AE3E80" w:rsidP="00E2112C">
            <w:pPr>
              <w:jc w:val="both"/>
              <w:rPr>
                <w:rFonts w:ascii="Arial" w:eastAsia="Times New Roman" w:hAnsi="Arial" w:cs="Arial"/>
                <w:szCs w:val="24"/>
                <w:lang w:val="en-GB" w:eastAsia="fr-FR"/>
              </w:rPr>
            </w:pPr>
          </w:p>
          <w:p w14:paraId="136D672C" w14:textId="26D45085" w:rsidR="00F3671D" w:rsidRPr="00F3671D" w:rsidRDefault="00F3671D" w:rsidP="00F3671D">
            <w:pPr>
              <w:rPr>
                <w:rFonts w:ascii="Arial" w:eastAsia="Times New Roman" w:hAnsi="Arial" w:cs="Arial"/>
                <w:szCs w:val="24"/>
                <w:lang w:val="en-GB" w:eastAsia="fr-FR"/>
              </w:rPr>
            </w:pPr>
            <w:r w:rsidRPr="00F3671D">
              <w:rPr>
                <w:rFonts w:ascii="Arial" w:eastAsia="Times New Roman" w:hAnsi="Arial" w:cs="Arial"/>
                <w:szCs w:val="24"/>
                <w:lang w:val="en-GB" w:eastAsia="fr-FR"/>
              </w:rPr>
              <w:t>The outbreak of COVID-19</w:t>
            </w:r>
            <w:r w:rsidR="00106AC2">
              <w:rPr>
                <w:rFonts w:ascii="Arial" w:eastAsia="Times New Roman" w:hAnsi="Arial" w:cs="Arial"/>
                <w:szCs w:val="24"/>
                <w:lang w:val="en-GB" w:eastAsia="fr-FR"/>
              </w:rPr>
              <w:t xml:space="preserve">, </w:t>
            </w:r>
            <w:r w:rsidRPr="00F3671D">
              <w:rPr>
                <w:rFonts w:ascii="Arial" w:eastAsia="Times New Roman" w:hAnsi="Arial" w:cs="Arial"/>
                <w:szCs w:val="24"/>
                <w:lang w:val="en-GB" w:eastAsia="fr-FR"/>
              </w:rPr>
              <w:t xml:space="preserve">related to the SARS-CoV-2 coronavirus, </w:t>
            </w:r>
            <w:r w:rsidR="00106AC2">
              <w:rPr>
                <w:rFonts w:ascii="Arial" w:eastAsia="Times New Roman" w:hAnsi="Arial" w:cs="Arial"/>
                <w:szCs w:val="24"/>
                <w:lang w:val="en-GB" w:eastAsia="fr-FR"/>
              </w:rPr>
              <w:t xml:space="preserve">and </w:t>
            </w:r>
            <w:r w:rsidRPr="00F3671D">
              <w:rPr>
                <w:rFonts w:ascii="Arial" w:eastAsia="Times New Roman" w:hAnsi="Arial" w:cs="Arial"/>
                <w:szCs w:val="24"/>
                <w:lang w:val="en-GB" w:eastAsia="fr-FR"/>
              </w:rPr>
              <w:t xml:space="preserve">characterized in its severe forms by severe pneumonia leading to a potentially fatal acute respiratory distress syndrome, could raise concerns about an increased risk of severe forms in asthmatics. Indeed, the respiratory tropism of coronaviruses is well known and some of them have already been involved in epidemics of severe </w:t>
            </w:r>
            <w:proofErr w:type="spellStart"/>
            <w:r w:rsidRPr="00F3671D">
              <w:rPr>
                <w:rFonts w:ascii="Arial" w:eastAsia="Times New Roman" w:hAnsi="Arial" w:cs="Arial"/>
                <w:szCs w:val="24"/>
                <w:lang w:val="en-GB" w:eastAsia="fr-FR"/>
              </w:rPr>
              <w:t>pneumopathies</w:t>
            </w:r>
            <w:proofErr w:type="spellEnd"/>
            <w:r w:rsidRPr="00F3671D">
              <w:rPr>
                <w:rFonts w:ascii="Arial" w:eastAsia="Times New Roman" w:hAnsi="Arial" w:cs="Arial"/>
                <w:szCs w:val="24"/>
                <w:lang w:val="en-GB" w:eastAsia="fr-FR"/>
              </w:rPr>
              <w:t xml:space="preserve"> such as SARS (Severe Acute Respiratory Syndrome) or MERS (Middle East Respiratory Syndrome). </w:t>
            </w:r>
          </w:p>
          <w:p w14:paraId="5D33D329" w14:textId="77777777" w:rsidR="00AE3E80" w:rsidRPr="00F3671D" w:rsidRDefault="00AE3E80" w:rsidP="00E2112C">
            <w:pPr>
              <w:jc w:val="both"/>
              <w:rPr>
                <w:rFonts w:ascii="Arial" w:eastAsia="Times New Roman" w:hAnsi="Arial" w:cs="Arial"/>
                <w:szCs w:val="24"/>
                <w:lang w:val="en-GB" w:eastAsia="fr-FR"/>
              </w:rPr>
            </w:pPr>
          </w:p>
          <w:p w14:paraId="5126DABA" w14:textId="77777777" w:rsidR="00B1458C" w:rsidRPr="00B1458C" w:rsidRDefault="00B1458C" w:rsidP="00B1458C">
            <w:pPr>
              <w:rPr>
                <w:rFonts w:ascii="Arial" w:eastAsia="Times New Roman" w:hAnsi="Arial" w:cs="Arial"/>
                <w:szCs w:val="24"/>
                <w:lang w:val="en-GB" w:eastAsia="fr-FR"/>
              </w:rPr>
            </w:pPr>
            <w:r w:rsidRPr="00B1458C">
              <w:rPr>
                <w:rFonts w:ascii="Arial" w:eastAsia="Times New Roman" w:hAnsi="Arial" w:cs="Arial"/>
                <w:szCs w:val="24"/>
                <w:lang w:val="en-GB" w:eastAsia="fr-FR"/>
              </w:rPr>
              <w:t>In a general review published in 2018, prior to the emergence of CoV-2-SARS, the detection of a coronavirus in respiratory specimens during an asthma flare-up ranged from 8.4% in children to 20.8% in adults, making this family of viruses the second most common virus identified in adults after rhinoviruses and the fourth most common in children after rhinoviruses, respiratory syncytial virus and enteroviruses. Thus, there was concern that the current epidemic may be accompanied by an increased risk of SARS-CoV-2 coronavirus infection in asthmatics associated with severe lung disease and/or asthmatic flare-ups. Curiously, however, in the first publications, whether in China, Italy or the USA, asthma patients do not appear to be over-represented, especially considering the prevalence of asthma estimated at between 7 and 10% depending on the country.</w:t>
            </w:r>
          </w:p>
          <w:p w14:paraId="2ABF8CE8" w14:textId="77777777" w:rsidR="00AE3E80" w:rsidRPr="00B1458C" w:rsidRDefault="00AE3E80" w:rsidP="00E2112C">
            <w:pPr>
              <w:jc w:val="both"/>
              <w:rPr>
                <w:rFonts w:ascii="Arial" w:eastAsia="Times New Roman" w:hAnsi="Arial" w:cs="Arial"/>
                <w:szCs w:val="24"/>
                <w:lang w:val="en-GB" w:eastAsia="fr-FR"/>
              </w:rPr>
            </w:pPr>
          </w:p>
          <w:p w14:paraId="729CD4CF" w14:textId="77777777" w:rsidR="008B69BE" w:rsidRDefault="00B1458C" w:rsidP="00B1458C">
            <w:pPr>
              <w:rPr>
                <w:rFonts w:ascii="Arial" w:eastAsia="Times New Roman" w:hAnsi="Arial" w:cs="Arial"/>
                <w:szCs w:val="24"/>
                <w:lang w:val="en-GB" w:eastAsia="fr-FR"/>
              </w:rPr>
            </w:pPr>
            <w:r w:rsidRPr="00B1458C">
              <w:rPr>
                <w:rFonts w:ascii="Arial" w:eastAsia="Times New Roman" w:hAnsi="Arial" w:cs="Arial"/>
                <w:szCs w:val="24"/>
                <w:lang w:val="en-GB" w:eastAsia="fr-FR"/>
              </w:rPr>
              <w:t xml:space="preserve">The objective of the researchers from </w:t>
            </w:r>
            <w:proofErr w:type="spellStart"/>
            <w:r w:rsidRPr="00B1458C">
              <w:rPr>
                <w:rFonts w:ascii="Arial" w:eastAsia="Times New Roman" w:hAnsi="Arial" w:cs="Arial"/>
                <w:szCs w:val="24"/>
                <w:lang w:val="en-GB" w:eastAsia="fr-FR"/>
              </w:rPr>
              <w:t>Bicêtre</w:t>
            </w:r>
            <w:proofErr w:type="spellEnd"/>
            <w:r w:rsidRPr="00B1458C">
              <w:rPr>
                <w:rFonts w:ascii="Arial" w:eastAsia="Times New Roman" w:hAnsi="Arial" w:cs="Arial"/>
                <w:szCs w:val="24"/>
                <w:lang w:val="en-GB" w:eastAsia="fr-FR"/>
              </w:rPr>
              <w:t xml:space="preserve"> Hospital, AP-HP / Faculty of Medicine of the Paris-Saclay University was to describe the clinical characteristics and the fate of asthma patients hospitalized for COVID-19 </w:t>
            </w:r>
            <w:proofErr w:type="spellStart"/>
            <w:r w:rsidRPr="00B1458C">
              <w:rPr>
                <w:rFonts w:ascii="Arial" w:eastAsia="Times New Roman" w:hAnsi="Arial" w:cs="Arial"/>
                <w:szCs w:val="24"/>
                <w:lang w:val="en-GB" w:eastAsia="fr-FR"/>
              </w:rPr>
              <w:t>pneumopathy</w:t>
            </w:r>
            <w:proofErr w:type="spellEnd"/>
            <w:r w:rsidRPr="00B1458C">
              <w:rPr>
                <w:rFonts w:ascii="Arial" w:eastAsia="Times New Roman" w:hAnsi="Arial" w:cs="Arial"/>
                <w:szCs w:val="24"/>
                <w:lang w:val="en-GB" w:eastAsia="fr-FR"/>
              </w:rPr>
              <w:t xml:space="preserve"> in the spring of 2020 at </w:t>
            </w:r>
            <w:proofErr w:type="spellStart"/>
            <w:r w:rsidRPr="00B1458C">
              <w:rPr>
                <w:rFonts w:ascii="Arial" w:eastAsia="Times New Roman" w:hAnsi="Arial" w:cs="Arial"/>
                <w:szCs w:val="24"/>
                <w:lang w:val="en-GB" w:eastAsia="fr-FR"/>
              </w:rPr>
              <w:t>Bicêtre</w:t>
            </w:r>
            <w:proofErr w:type="spellEnd"/>
            <w:r w:rsidRPr="00B1458C">
              <w:rPr>
                <w:rFonts w:ascii="Arial" w:eastAsia="Times New Roman" w:hAnsi="Arial" w:cs="Arial"/>
                <w:szCs w:val="24"/>
                <w:lang w:val="en-GB" w:eastAsia="fr-FR"/>
              </w:rPr>
              <w:t xml:space="preserve"> Hospital. </w:t>
            </w:r>
          </w:p>
          <w:p w14:paraId="1B48E610" w14:textId="77777777" w:rsidR="008B69BE" w:rsidRDefault="008B69BE" w:rsidP="00B1458C">
            <w:pPr>
              <w:rPr>
                <w:rFonts w:ascii="Arial" w:eastAsia="Times New Roman" w:hAnsi="Arial" w:cs="Arial"/>
                <w:szCs w:val="24"/>
                <w:lang w:val="en-GB" w:eastAsia="fr-FR"/>
              </w:rPr>
            </w:pPr>
          </w:p>
          <w:p w14:paraId="2C6A4F02" w14:textId="0D193668" w:rsidR="00E2112C" w:rsidRPr="00B1458C" w:rsidRDefault="00B1458C" w:rsidP="00B1458C">
            <w:pPr>
              <w:rPr>
                <w:rFonts w:ascii="Arial" w:eastAsia="Times New Roman" w:hAnsi="Arial" w:cs="Arial"/>
                <w:szCs w:val="24"/>
                <w:lang w:val="en-GB" w:eastAsia="fr-FR"/>
              </w:rPr>
            </w:pPr>
            <w:r w:rsidRPr="00B1458C">
              <w:rPr>
                <w:rFonts w:ascii="Arial" w:eastAsia="Times New Roman" w:hAnsi="Arial" w:cs="Arial"/>
                <w:szCs w:val="24"/>
                <w:lang w:val="en-GB" w:eastAsia="fr-FR"/>
              </w:rPr>
              <w:t xml:space="preserve">In a group of 768 patients hospitalised from 15 March to 15 April 2020, 37 (4.8%) were asthmatic, a proportion broadly similar to the general population of the same age in France. These patients were younger than non-asthmatic patients hospitalised for COVID-19 </w:t>
            </w:r>
            <w:proofErr w:type="spellStart"/>
            <w:r w:rsidRPr="00B1458C">
              <w:rPr>
                <w:rFonts w:ascii="Arial" w:eastAsia="Times New Roman" w:hAnsi="Arial" w:cs="Arial"/>
                <w:szCs w:val="24"/>
                <w:lang w:val="en-GB" w:eastAsia="fr-FR"/>
              </w:rPr>
              <w:t>pneumopathy</w:t>
            </w:r>
            <w:proofErr w:type="spellEnd"/>
            <w:r w:rsidRPr="00B1458C">
              <w:rPr>
                <w:rFonts w:ascii="Arial" w:eastAsia="Times New Roman" w:hAnsi="Arial" w:cs="Arial"/>
                <w:szCs w:val="24"/>
                <w:lang w:val="en-GB" w:eastAsia="fr-FR"/>
              </w:rPr>
              <w:t xml:space="preserve"> and more often female. </w:t>
            </w:r>
          </w:p>
          <w:p w14:paraId="0565D214" w14:textId="77777777" w:rsidR="00E2112C" w:rsidRPr="00B1458C" w:rsidRDefault="00E2112C" w:rsidP="00E2112C">
            <w:pPr>
              <w:jc w:val="both"/>
              <w:rPr>
                <w:rFonts w:ascii="Arial" w:eastAsia="Times New Roman" w:hAnsi="Arial" w:cs="Arial"/>
                <w:szCs w:val="24"/>
                <w:lang w:val="en-GB" w:eastAsia="fr-FR"/>
              </w:rPr>
            </w:pPr>
          </w:p>
          <w:p w14:paraId="1488DABE" w14:textId="77777777" w:rsidR="00FE53A4" w:rsidRPr="00FE53A4" w:rsidRDefault="00FE53A4" w:rsidP="00FE53A4">
            <w:pPr>
              <w:rPr>
                <w:rFonts w:ascii="Arial" w:eastAsia="Times New Roman" w:hAnsi="Arial" w:cs="Arial"/>
                <w:szCs w:val="24"/>
                <w:lang w:val="en-GB" w:eastAsia="fr-FR"/>
              </w:rPr>
            </w:pPr>
            <w:r w:rsidRPr="00FE53A4">
              <w:rPr>
                <w:rFonts w:ascii="Arial" w:eastAsia="Times New Roman" w:hAnsi="Arial" w:cs="Arial"/>
                <w:szCs w:val="24"/>
                <w:lang w:val="en-GB" w:eastAsia="fr-FR"/>
              </w:rPr>
              <w:lastRenderedPageBreak/>
              <w:t>It is noteworthy that none of these patients experienced a severe asthma attack warranting specific treatment on admission to hospital, confirming that this respiratory infection is less likely to exacerbate asthma than other respiratory viral infections. Furthermore, there is no evidence to suggest increased illness or mortality in these patients. Treatment of asthma was generally not altered during hospitalization, noting that continued treatment does not appear to be detrimental in patients with asthma infected with CoV-2-SARS. Further studies are underway to test the hypothesis that treatment of asthma may be beneficial during COVID-19. This study shows that asthmatics are not over-represented in a cohort of patients hospitalized for severe lung disease related to CoV-2-SARS, that mortality in infected asthma patients is not increased compared to the general population, and that asthma treatment should be maintained in these patients.</w:t>
            </w:r>
          </w:p>
          <w:p w14:paraId="591A0FA7" w14:textId="77777777" w:rsidR="00E2112C" w:rsidRPr="00FE53A4" w:rsidRDefault="00E2112C" w:rsidP="00E2112C">
            <w:pPr>
              <w:jc w:val="both"/>
              <w:rPr>
                <w:rFonts w:ascii="Arial" w:hAnsi="Arial" w:cs="Arial"/>
                <w:color w:val="0563C1" w:themeColor="hyperlink"/>
                <w:u w:val="single"/>
                <w:lang w:val="en-GB"/>
              </w:rPr>
            </w:pPr>
            <w:r w:rsidRPr="00FE53A4">
              <w:rPr>
                <w:rFonts w:ascii="Arial" w:hAnsi="Arial" w:cs="Arial"/>
                <w:color w:val="0563C1" w:themeColor="hyperlink"/>
                <w:u w:val="single"/>
                <w:lang w:val="en-GB"/>
              </w:rPr>
              <w:br/>
            </w:r>
          </w:p>
          <w:p w14:paraId="7D3AB0DB" w14:textId="77777777" w:rsidR="008A062B" w:rsidRPr="005801F6" w:rsidRDefault="008A062B" w:rsidP="008A062B">
            <w:pPr>
              <w:shd w:val="clear" w:color="auto" w:fill="FFFFFF" w:themeFill="background1"/>
              <w:rPr>
                <w:rFonts w:ascii="Arial" w:hAnsi="Arial" w:cs="Arial"/>
                <w:b/>
                <w:bCs/>
                <w:color w:val="62003C"/>
                <w:shd w:val="clear" w:color="auto" w:fill="FFFFFF"/>
                <w:lang w:val="en-GB"/>
              </w:rPr>
            </w:pPr>
            <w:r w:rsidRPr="005801F6">
              <w:rPr>
                <w:rFonts w:ascii="Arial" w:hAnsi="Arial" w:cs="Arial"/>
                <w:b/>
                <w:bCs/>
                <w:color w:val="62003C"/>
                <w:shd w:val="clear" w:color="auto" w:fill="FFFFFF"/>
                <w:lang w:val="en-GB"/>
              </w:rPr>
              <w:t>About Paris-Saclay University</w:t>
            </w:r>
          </w:p>
          <w:p w14:paraId="4F9FAC7B" w14:textId="77777777" w:rsidR="008A062B" w:rsidRDefault="008A062B" w:rsidP="008A062B">
            <w:pPr>
              <w:jc w:val="both"/>
              <w:rPr>
                <w:rFonts w:ascii="Arial" w:hAnsi="Arial" w:cs="Arial"/>
                <w:bCs/>
                <w:color w:val="000000"/>
                <w:lang w:val="en-GB"/>
              </w:rPr>
            </w:pPr>
            <w:r w:rsidRPr="005801F6">
              <w:rPr>
                <w:rFonts w:ascii="Arial" w:hAnsi="Arial" w:cs="Arial"/>
                <w:bCs/>
                <w:color w:val="000000"/>
                <w:lang w:val="en-GB"/>
              </w:rPr>
              <w:t xml:space="preserve">Paris-Saclay University brings together ten university components (5 faculties, 3 IUTs, a university engineering school and an </w:t>
            </w:r>
            <w:proofErr w:type="spellStart"/>
            <w:r w:rsidRPr="005801F6">
              <w:rPr>
                <w:rFonts w:ascii="Arial" w:hAnsi="Arial" w:cs="Arial"/>
                <w:bCs/>
                <w:color w:val="000000"/>
                <w:lang w:val="en-GB"/>
              </w:rPr>
              <w:t>Observatoire</w:t>
            </w:r>
            <w:proofErr w:type="spellEnd"/>
            <w:r w:rsidRPr="005801F6">
              <w:rPr>
                <w:rFonts w:ascii="Arial" w:hAnsi="Arial" w:cs="Arial"/>
                <w:bCs/>
                <w:color w:val="000000"/>
                <w:lang w:val="en-GB"/>
              </w:rPr>
              <w:t xml:space="preserve"> des Sciences de </w:t>
            </w:r>
            <w:proofErr w:type="spellStart"/>
            <w:r w:rsidRPr="005801F6">
              <w:rPr>
                <w:rFonts w:ascii="Arial" w:hAnsi="Arial" w:cs="Arial"/>
                <w:bCs/>
                <w:color w:val="000000"/>
                <w:lang w:val="en-GB"/>
              </w:rPr>
              <w:t>l'Univers</w:t>
            </w:r>
            <w:proofErr w:type="spellEnd"/>
            <w:r w:rsidRPr="005801F6">
              <w:rPr>
                <w:rFonts w:ascii="Arial" w:hAnsi="Arial" w:cs="Arial"/>
                <w:bCs/>
                <w:color w:val="000000"/>
                <w:lang w:val="en-GB"/>
              </w:rPr>
              <w:t xml:space="preserve">), four </w:t>
            </w:r>
            <w:proofErr w:type="spellStart"/>
            <w:r w:rsidRPr="005801F6">
              <w:rPr>
                <w:rFonts w:ascii="Arial" w:hAnsi="Arial" w:cs="Arial"/>
                <w:bCs/>
                <w:color w:val="000000"/>
                <w:lang w:val="en-GB"/>
              </w:rPr>
              <w:t>grandes</w:t>
            </w:r>
            <w:proofErr w:type="spellEnd"/>
            <w:r w:rsidRPr="005801F6">
              <w:rPr>
                <w:rFonts w:ascii="Arial" w:hAnsi="Arial" w:cs="Arial"/>
                <w:bCs/>
                <w:color w:val="000000"/>
                <w:lang w:val="en-GB"/>
              </w:rPr>
              <w:t xml:space="preserve"> </w:t>
            </w:r>
            <w:proofErr w:type="spellStart"/>
            <w:r w:rsidRPr="005801F6">
              <w:rPr>
                <w:rFonts w:ascii="Arial" w:hAnsi="Arial" w:cs="Arial"/>
                <w:bCs/>
                <w:color w:val="000000"/>
                <w:lang w:val="en-GB"/>
              </w:rPr>
              <w:t>écoles</w:t>
            </w:r>
            <w:proofErr w:type="spellEnd"/>
            <w:r w:rsidRPr="005801F6">
              <w:rPr>
                <w:rFonts w:ascii="Arial" w:hAnsi="Arial" w:cs="Arial"/>
                <w:bCs/>
                <w:color w:val="000000"/>
                <w:lang w:val="en-GB"/>
              </w:rPr>
              <w:t xml:space="preserve"> (AgroParisTech, </w:t>
            </w:r>
            <w:proofErr w:type="spellStart"/>
            <w:r w:rsidRPr="005801F6">
              <w:rPr>
                <w:rFonts w:ascii="Arial" w:hAnsi="Arial" w:cs="Arial"/>
                <w:bCs/>
                <w:color w:val="000000"/>
                <w:lang w:val="en-GB"/>
              </w:rPr>
              <w:t>CentraleSupélec</w:t>
            </w:r>
            <w:proofErr w:type="spellEnd"/>
            <w:r w:rsidRPr="005801F6">
              <w:rPr>
                <w:rFonts w:ascii="Arial" w:hAnsi="Arial" w:cs="Arial"/>
                <w:bCs/>
                <w:color w:val="000000"/>
                <w:lang w:val="en-GB"/>
              </w:rPr>
              <w:t xml:space="preserve">, </w:t>
            </w:r>
            <w:proofErr w:type="spellStart"/>
            <w:r w:rsidRPr="005801F6">
              <w:rPr>
                <w:rFonts w:ascii="Arial" w:hAnsi="Arial" w:cs="Arial"/>
                <w:bCs/>
                <w:color w:val="000000"/>
                <w:lang w:val="en-GB"/>
              </w:rPr>
              <w:t>Institut</w:t>
            </w:r>
            <w:proofErr w:type="spellEnd"/>
            <w:r w:rsidRPr="005801F6">
              <w:rPr>
                <w:rFonts w:ascii="Arial" w:hAnsi="Arial" w:cs="Arial"/>
                <w:bCs/>
                <w:color w:val="000000"/>
                <w:lang w:val="en-GB"/>
              </w:rPr>
              <w:t xml:space="preserve"> </w:t>
            </w:r>
            <w:proofErr w:type="spellStart"/>
            <w:r w:rsidRPr="005801F6">
              <w:rPr>
                <w:rFonts w:ascii="Arial" w:hAnsi="Arial" w:cs="Arial"/>
                <w:bCs/>
                <w:color w:val="000000"/>
                <w:lang w:val="en-GB"/>
              </w:rPr>
              <w:t>d'Optique</w:t>
            </w:r>
            <w:proofErr w:type="spellEnd"/>
            <w:r w:rsidRPr="005801F6">
              <w:rPr>
                <w:rFonts w:ascii="Arial" w:hAnsi="Arial" w:cs="Arial"/>
                <w:bCs/>
                <w:color w:val="000000"/>
                <w:lang w:val="en-GB"/>
              </w:rPr>
              <w:t xml:space="preserve"> Graduate School, ENS Paris-Saclay), an institute for advanced research in basic sciences (IHES), two associate member universities (UVSQ and UEVE) and laboratories shared with major research organizations (CEA, CNRS, </w:t>
            </w:r>
            <w:proofErr w:type="spellStart"/>
            <w:r w:rsidRPr="005801F6">
              <w:rPr>
                <w:rFonts w:ascii="Arial" w:hAnsi="Arial" w:cs="Arial"/>
                <w:bCs/>
                <w:color w:val="000000"/>
                <w:lang w:val="en-GB"/>
              </w:rPr>
              <w:t>Inrae</w:t>
            </w:r>
            <w:proofErr w:type="spellEnd"/>
            <w:r w:rsidRPr="005801F6">
              <w:rPr>
                <w:rFonts w:ascii="Arial" w:hAnsi="Arial" w:cs="Arial"/>
                <w:bCs/>
                <w:color w:val="000000"/>
                <w:lang w:val="en-GB"/>
              </w:rPr>
              <w:t xml:space="preserve">, </w:t>
            </w:r>
            <w:proofErr w:type="spellStart"/>
            <w:r w:rsidRPr="005801F6">
              <w:rPr>
                <w:rFonts w:ascii="Arial" w:hAnsi="Arial" w:cs="Arial"/>
                <w:bCs/>
                <w:color w:val="000000"/>
                <w:lang w:val="en-GB"/>
              </w:rPr>
              <w:t>Inria</w:t>
            </w:r>
            <w:proofErr w:type="spellEnd"/>
            <w:r w:rsidRPr="005801F6">
              <w:rPr>
                <w:rFonts w:ascii="Arial" w:hAnsi="Arial" w:cs="Arial"/>
                <w:bCs/>
                <w:color w:val="000000"/>
                <w:lang w:val="en-GB"/>
              </w:rPr>
              <w:t xml:space="preserve">, </w:t>
            </w:r>
            <w:proofErr w:type="spellStart"/>
            <w:r w:rsidRPr="005801F6">
              <w:rPr>
                <w:rFonts w:ascii="Arial" w:hAnsi="Arial" w:cs="Arial"/>
                <w:bCs/>
                <w:color w:val="000000"/>
                <w:lang w:val="en-GB"/>
              </w:rPr>
              <w:t>Inserm</w:t>
            </w:r>
            <w:proofErr w:type="spellEnd"/>
            <w:r w:rsidRPr="005801F6">
              <w:rPr>
                <w:rFonts w:ascii="Arial" w:hAnsi="Arial" w:cs="Arial"/>
                <w:bCs/>
                <w:color w:val="000000"/>
                <w:lang w:val="en-GB"/>
              </w:rPr>
              <w:t xml:space="preserve"> and </w:t>
            </w:r>
            <w:proofErr w:type="spellStart"/>
            <w:r w:rsidRPr="005801F6">
              <w:rPr>
                <w:rFonts w:ascii="Arial" w:hAnsi="Arial" w:cs="Arial"/>
                <w:bCs/>
                <w:color w:val="000000"/>
                <w:lang w:val="en-GB"/>
              </w:rPr>
              <w:t>Onera</w:t>
            </w:r>
            <w:proofErr w:type="spellEnd"/>
            <w:r w:rsidRPr="005801F6">
              <w:rPr>
                <w:rFonts w:ascii="Arial" w:hAnsi="Arial" w:cs="Arial"/>
                <w:bCs/>
                <w:color w:val="000000"/>
                <w:lang w:val="en-GB"/>
              </w:rPr>
              <w:t>).</w:t>
            </w:r>
          </w:p>
          <w:p w14:paraId="3BA8CC51" w14:textId="77777777" w:rsidR="008A062B" w:rsidRPr="005801F6" w:rsidRDefault="008A062B" w:rsidP="008A062B">
            <w:pPr>
              <w:jc w:val="both"/>
              <w:rPr>
                <w:rFonts w:ascii="Arial" w:hAnsi="Arial" w:cs="Arial"/>
                <w:bCs/>
                <w:color w:val="000000"/>
                <w:lang w:val="en-GB"/>
              </w:rPr>
            </w:pPr>
          </w:p>
          <w:p w14:paraId="55B30CE7" w14:textId="77777777" w:rsidR="008A062B" w:rsidRDefault="008A062B" w:rsidP="008A062B">
            <w:pPr>
              <w:jc w:val="both"/>
              <w:rPr>
                <w:rFonts w:ascii="Arial" w:hAnsi="Arial" w:cs="Arial"/>
                <w:bCs/>
                <w:color w:val="000000"/>
                <w:lang w:val="en-GB"/>
              </w:rPr>
            </w:pPr>
            <w:r w:rsidRPr="005801F6">
              <w:rPr>
                <w:rFonts w:ascii="Arial" w:hAnsi="Arial" w:cs="Arial"/>
                <w:bCs/>
                <w:color w:val="000000"/>
                <w:lang w:val="en-GB"/>
              </w:rPr>
              <w:t>Composed of 48,000 students, 9,000 teacher-researchers and 11,000 technical and administrative staff, it offers a complete and varied range of training courses from Bachelor's to Doctorate level, and is recognised for its quality of education thanks to the reputation and commitment of its teaching staff.</w:t>
            </w:r>
          </w:p>
          <w:p w14:paraId="5102CCB7" w14:textId="77777777" w:rsidR="008A062B" w:rsidRPr="005801F6" w:rsidRDefault="008A062B" w:rsidP="008A062B">
            <w:pPr>
              <w:jc w:val="both"/>
              <w:rPr>
                <w:rFonts w:ascii="Arial" w:hAnsi="Arial" w:cs="Arial"/>
                <w:bCs/>
                <w:color w:val="000000"/>
                <w:lang w:val="en-GB"/>
              </w:rPr>
            </w:pPr>
          </w:p>
          <w:p w14:paraId="7374574D" w14:textId="77777777" w:rsidR="008A062B" w:rsidRPr="005801F6" w:rsidRDefault="008A062B" w:rsidP="008A062B">
            <w:pPr>
              <w:jc w:val="both"/>
              <w:rPr>
                <w:rFonts w:ascii="Arial" w:hAnsi="Arial" w:cs="Arial"/>
                <w:bCs/>
                <w:color w:val="000000"/>
                <w:lang w:val="en-GB"/>
              </w:rPr>
            </w:pPr>
            <w:r w:rsidRPr="005801F6">
              <w:rPr>
                <w:rFonts w:ascii="Arial" w:hAnsi="Arial" w:cs="Arial"/>
                <w:bCs/>
                <w:color w:val="000000"/>
                <w:lang w:val="en-GB"/>
              </w:rPr>
              <w:t xml:space="preserve">Located south of Paris, on land that stretches from Paris to </w:t>
            </w:r>
            <w:proofErr w:type="spellStart"/>
            <w:r w:rsidRPr="005801F6">
              <w:rPr>
                <w:rFonts w:ascii="Arial" w:hAnsi="Arial" w:cs="Arial"/>
                <w:bCs/>
                <w:color w:val="000000"/>
                <w:lang w:val="en-GB"/>
              </w:rPr>
              <w:t>Orsay</w:t>
            </w:r>
            <w:proofErr w:type="spellEnd"/>
            <w:r w:rsidRPr="005801F6">
              <w:rPr>
                <w:rFonts w:ascii="Arial" w:hAnsi="Arial" w:cs="Arial"/>
                <w:bCs/>
                <w:color w:val="000000"/>
                <w:lang w:val="en-GB"/>
              </w:rPr>
              <w:t xml:space="preserve">, via </w:t>
            </w:r>
            <w:proofErr w:type="spellStart"/>
            <w:r w:rsidRPr="005801F6">
              <w:rPr>
                <w:rFonts w:ascii="Arial" w:hAnsi="Arial" w:cs="Arial"/>
                <w:bCs/>
                <w:color w:val="000000"/>
                <w:lang w:val="en-GB"/>
              </w:rPr>
              <w:t>Evry</w:t>
            </w:r>
            <w:proofErr w:type="spellEnd"/>
            <w:r w:rsidRPr="005801F6">
              <w:rPr>
                <w:rFonts w:ascii="Arial" w:hAnsi="Arial" w:cs="Arial"/>
                <w:bCs/>
                <w:color w:val="000000"/>
                <w:lang w:val="en-GB"/>
              </w:rPr>
              <w:t xml:space="preserve"> and Versailles, Paris-Saclay University benefits from a strategic geographical and socio-economic position that its international visibility helps to reinforce. At the same time a cutting-edge university, with a predominantly scientific focus but also recognised for its training in the human and social sciences, Paris-Saclay University operates in a classified natural environment, close to Paris, and at the heart of a dynamic economic hub. </w:t>
            </w:r>
          </w:p>
          <w:p w14:paraId="51462879" w14:textId="77777777" w:rsidR="008A062B" w:rsidRPr="005801F6" w:rsidRDefault="00EC0D12" w:rsidP="008A062B">
            <w:pPr>
              <w:jc w:val="both"/>
              <w:rPr>
                <w:rFonts w:ascii="Arial" w:hAnsi="Arial" w:cs="Arial"/>
                <w:lang w:val="en-GB"/>
              </w:rPr>
            </w:pPr>
            <w:hyperlink r:id="rId8" w:history="1">
              <w:r w:rsidR="008A062B" w:rsidRPr="005801F6">
                <w:rPr>
                  <w:rStyle w:val="Lienhypertexte"/>
                  <w:rFonts w:ascii="Arial" w:hAnsi="Arial" w:cs="Arial"/>
                  <w:lang w:val="en-GB"/>
                </w:rPr>
                <w:t>www.universite-paris-saclay.fr/en</w:t>
              </w:r>
            </w:hyperlink>
          </w:p>
          <w:p w14:paraId="0B8B7B68" w14:textId="77777777" w:rsidR="008A062B" w:rsidRPr="005801F6" w:rsidRDefault="008A062B" w:rsidP="008A062B">
            <w:pPr>
              <w:jc w:val="both"/>
              <w:rPr>
                <w:rFonts w:ascii="Arial" w:hAnsi="Arial" w:cs="Arial"/>
                <w:bCs/>
                <w:color w:val="000000"/>
                <w:lang w:val="en-GB"/>
              </w:rPr>
            </w:pPr>
          </w:p>
          <w:p w14:paraId="010A0945" w14:textId="77777777" w:rsidR="008A062B" w:rsidRPr="005801F6" w:rsidRDefault="008A062B" w:rsidP="008A062B">
            <w:pPr>
              <w:rPr>
                <w:rFonts w:ascii="Arial" w:hAnsi="Arial" w:cs="Arial"/>
                <w:b/>
                <w:color w:val="000000"/>
                <w:lang w:val="en-GB"/>
              </w:rPr>
            </w:pPr>
            <w:r w:rsidRPr="005801F6">
              <w:rPr>
                <w:rFonts w:ascii="Arial" w:eastAsia="Times New Roman" w:hAnsi="Arial" w:cs="Arial"/>
                <w:noProof/>
                <w:color w:val="000000"/>
                <w:lang w:eastAsia="fr-FR"/>
              </w:rPr>
              <w:drawing>
                <wp:inline distT="0" distB="0" distL="0" distR="0" wp14:anchorId="001BA49C" wp14:editId="3F86B689">
                  <wp:extent cx="5730240" cy="896463"/>
                  <wp:effectExtent l="0" t="0" r="3810" b="0"/>
                  <wp:docPr id="5" name="Image 5"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 logos 20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07069" cy="908482"/>
                          </a:xfrm>
                          <a:prstGeom prst="rect">
                            <a:avLst/>
                          </a:prstGeom>
                        </pic:spPr>
                      </pic:pic>
                    </a:graphicData>
                  </a:graphic>
                </wp:inline>
              </w:drawing>
            </w:r>
          </w:p>
          <w:p w14:paraId="7912504A" w14:textId="77777777" w:rsidR="008A062B" w:rsidRPr="005801F6" w:rsidRDefault="008A062B" w:rsidP="008A062B">
            <w:pPr>
              <w:jc w:val="center"/>
              <w:rPr>
                <w:rFonts w:ascii="Arial" w:hAnsi="Arial" w:cs="Arial"/>
                <w:b/>
                <w:bCs/>
                <w:spacing w:val="-1"/>
                <w:lang w:val="en-GB"/>
              </w:rPr>
            </w:pPr>
          </w:p>
          <w:p w14:paraId="1DC52916" w14:textId="77777777" w:rsidR="00E2112C" w:rsidRDefault="00E2112C" w:rsidP="00E2112C">
            <w:pPr>
              <w:shd w:val="clear" w:color="auto" w:fill="FFFFFF" w:themeFill="background1"/>
              <w:spacing w:after="240"/>
              <w:rPr>
                <w:rFonts w:ascii="Arial" w:hAnsi="Arial" w:cs="Arial"/>
                <w:b/>
                <w:bCs/>
                <w:sz w:val="21"/>
                <w:szCs w:val="21"/>
              </w:rPr>
            </w:pPr>
          </w:p>
          <w:p w14:paraId="1FC2D5CB" w14:textId="3B444417" w:rsidR="00015B71" w:rsidRPr="00015B71" w:rsidRDefault="00015B71" w:rsidP="00015B71">
            <w:pPr>
              <w:shd w:val="clear" w:color="auto" w:fill="FFFFFF" w:themeFill="background1"/>
              <w:rPr>
                <w:rFonts w:ascii="Arial" w:hAnsi="Arial" w:cs="Arial"/>
                <w:b/>
                <w:bCs/>
                <w:color w:val="62003C"/>
                <w:shd w:val="clear" w:color="auto" w:fill="FFFFFF"/>
                <w:lang w:val="en-GB"/>
              </w:rPr>
            </w:pPr>
            <w:r w:rsidRPr="00015B71">
              <w:rPr>
                <w:rFonts w:ascii="Arial" w:hAnsi="Arial" w:cs="Arial"/>
                <w:b/>
                <w:bCs/>
                <w:color w:val="62003C"/>
                <w:shd w:val="clear" w:color="auto" w:fill="FFFFFF"/>
                <w:lang w:val="en-GB"/>
              </w:rPr>
              <w:t xml:space="preserve">About the AP-HP </w:t>
            </w:r>
          </w:p>
          <w:p w14:paraId="077F7F8B" w14:textId="11343A9F" w:rsidR="00015B71" w:rsidRDefault="00015B71" w:rsidP="00015B71">
            <w:pPr>
              <w:jc w:val="both"/>
              <w:rPr>
                <w:rFonts w:ascii="Arial" w:hAnsi="Arial" w:cs="Arial"/>
                <w:bCs/>
                <w:color w:val="000000"/>
                <w:lang w:val="en-GB"/>
              </w:rPr>
            </w:pPr>
            <w:r w:rsidRPr="00015B71">
              <w:rPr>
                <w:rFonts w:ascii="Arial" w:hAnsi="Arial" w:cs="Arial"/>
                <w:bCs/>
                <w:color w:val="000000"/>
                <w:lang w:val="en-GB"/>
              </w:rPr>
              <w:t xml:space="preserve">Europe's leading hospital and university </w:t>
            </w:r>
            <w:proofErr w:type="spellStart"/>
            <w:r w:rsidRPr="00015B71">
              <w:rPr>
                <w:rFonts w:ascii="Arial" w:hAnsi="Arial" w:cs="Arial"/>
                <w:bCs/>
                <w:color w:val="000000"/>
                <w:lang w:val="en-GB"/>
              </w:rPr>
              <w:t>center</w:t>
            </w:r>
            <w:proofErr w:type="spellEnd"/>
            <w:r w:rsidRPr="00015B71">
              <w:rPr>
                <w:rFonts w:ascii="Arial" w:hAnsi="Arial" w:cs="Arial"/>
                <w:bCs/>
                <w:color w:val="000000"/>
                <w:lang w:val="en-GB"/>
              </w:rPr>
              <w:t xml:space="preserve"> (CHU), the AP-HP and its 39 hospitals are organized in six university hospital groups (AP-HP. Centre - University of Paris; AP-HP. Sorbonne University; AP-HP. Nord - University of Paris; AP-HP. Paris Saclay University; AP-HP. Henri </w:t>
            </w:r>
            <w:proofErr w:type="spellStart"/>
            <w:r w:rsidRPr="00015B71">
              <w:rPr>
                <w:rFonts w:ascii="Arial" w:hAnsi="Arial" w:cs="Arial"/>
                <w:bCs/>
                <w:color w:val="000000"/>
                <w:lang w:val="en-GB"/>
              </w:rPr>
              <w:t>Mondor</w:t>
            </w:r>
            <w:proofErr w:type="spellEnd"/>
            <w:r w:rsidRPr="00015B71">
              <w:rPr>
                <w:rFonts w:ascii="Arial" w:hAnsi="Arial" w:cs="Arial"/>
                <w:bCs/>
                <w:color w:val="000000"/>
                <w:lang w:val="en-GB"/>
              </w:rPr>
              <w:t xml:space="preserve"> University Hospitals and AP-HP. </w:t>
            </w:r>
            <w:proofErr w:type="spellStart"/>
            <w:r w:rsidRPr="00015B71">
              <w:rPr>
                <w:rFonts w:ascii="Arial" w:hAnsi="Arial" w:cs="Arial"/>
                <w:bCs/>
                <w:color w:val="000000"/>
                <w:lang w:val="en-GB"/>
              </w:rPr>
              <w:t>Hôpitaux</w:t>
            </w:r>
            <w:proofErr w:type="spellEnd"/>
            <w:r w:rsidRPr="00015B71">
              <w:rPr>
                <w:rFonts w:ascii="Arial" w:hAnsi="Arial" w:cs="Arial"/>
                <w:bCs/>
                <w:color w:val="000000"/>
                <w:lang w:val="en-GB"/>
              </w:rPr>
              <w:t xml:space="preserve"> </w:t>
            </w:r>
            <w:proofErr w:type="spellStart"/>
            <w:r w:rsidRPr="00015B71">
              <w:rPr>
                <w:rFonts w:ascii="Arial" w:hAnsi="Arial" w:cs="Arial"/>
                <w:bCs/>
                <w:color w:val="000000"/>
                <w:lang w:val="en-GB"/>
              </w:rPr>
              <w:t>Universitaires</w:t>
            </w:r>
            <w:proofErr w:type="spellEnd"/>
            <w:r w:rsidRPr="00015B71">
              <w:rPr>
                <w:rFonts w:ascii="Arial" w:hAnsi="Arial" w:cs="Arial"/>
                <w:bCs/>
                <w:color w:val="000000"/>
                <w:lang w:val="en-GB"/>
              </w:rPr>
              <w:t xml:space="preserve"> Paris Seine-Saint-Denis) and are organised around five universities in the Paris region. Closely linked to major research organizations, AP-HP has three world-class university hospital institutes (ICM, ICAN, IMAGINE) and the largest French health data</w:t>
            </w:r>
            <w:r w:rsidR="002A3F48">
              <w:rPr>
                <w:rFonts w:ascii="Arial" w:hAnsi="Arial" w:cs="Arial"/>
                <w:bCs/>
                <w:color w:val="000000"/>
                <w:lang w:val="en-GB"/>
              </w:rPr>
              <w:t xml:space="preserve">base </w:t>
            </w:r>
            <w:r w:rsidRPr="00015B71">
              <w:rPr>
                <w:rFonts w:ascii="Arial" w:hAnsi="Arial" w:cs="Arial"/>
                <w:bCs/>
                <w:color w:val="000000"/>
                <w:lang w:val="en-GB"/>
              </w:rPr>
              <w:t xml:space="preserve">(EDS). A major player in applied research and innovation in health, AP-HP holds a portfolio of 650 active patents, its clinician-researchers sign nearly 9,000 scientific publications each year and more than 4,000 research projects are currently under development, all promoters combined. In 2015, PA-HP also created the PA-HP Research Foundation to support biomedical and health research conducted in all of its hospitals. </w:t>
            </w:r>
          </w:p>
          <w:p w14:paraId="74F58731" w14:textId="0F8A33E9" w:rsidR="00E2112C" w:rsidRPr="00015B71" w:rsidRDefault="00EC0D12" w:rsidP="00E2112C">
            <w:pPr>
              <w:jc w:val="both"/>
              <w:rPr>
                <w:rFonts w:ascii="Arial" w:hAnsi="Arial" w:cs="Arial"/>
                <w:bCs/>
                <w:color w:val="000000"/>
                <w:lang w:val="en-GB"/>
              </w:rPr>
            </w:pPr>
            <w:hyperlink r:id="rId10" w:history="1">
              <w:r w:rsidR="00015B71" w:rsidRPr="00D716A2">
                <w:rPr>
                  <w:rStyle w:val="Lienhypertexte"/>
                  <w:rFonts w:ascii="Arial" w:hAnsi="Arial" w:cs="Arial"/>
                  <w:bCs/>
                  <w:lang w:val="en-GB"/>
                </w:rPr>
                <w:t>http://www.aphp.fr</w:t>
              </w:r>
            </w:hyperlink>
          </w:p>
          <w:p w14:paraId="566A5ACC" w14:textId="0A50549F" w:rsidR="00E2112C" w:rsidRPr="00015B71" w:rsidRDefault="00E2112C" w:rsidP="00E2112C">
            <w:pPr>
              <w:shd w:val="clear" w:color="auto" w:fill="FFFFFF" w:themeFill="background1"/>
              <w:spacing w:after="240"/>
              <w:rPr>
                <w:rFonts w:ascii="Arial" w:hAnsi="Arial" w:cs="Arial"/>
                <w:b/>
                <w:bCs/>
                <w:sz w:val="21"/>
                <w:szCs w:val="21"/>
                <w:lang w:val="en-GB"/>
              </w:rPr>
            </w:pPr>
          </w:p>
          <w:p w14:paraId="627595B7" w14:textId="77777777" w:rsidR="008A062B" w:rsidRDefault="008A062B" w:rsidP="008A062B">
            <w:pPr>
              <w:jc w:val="center"/>
              <w:rPr>
                <w:rFonts w:ascii="Arial" w:hAnsi="Arial" w:cs="Arial"/>
                <w:b/>
                <w:bCs/>
                <w:spacing w:val="-1"/>
                <w:lang w:val="en-GB"/>
              </w:rPr>
            </w:pPr>
          </w:p>
          <w:p w14:paraId="53FD71E2" w14:textId="77777777" w:rsidR="008A062B" w:rsidRPr="005801F6" w:rsidRDefault="008A062B" w:rsidP="008A062B">
            <w:pPr>
              <w:jc w:val="center"/>
              <w:rPr>
                <w:rFonts w:ascii="Arial" w:hAnsi="Arial" w:cs="Arial"/>
                <w:lang w:val="en-GB"/>
              </w:rPr>
            </w:pPr>
            <w:r w:rsidRPr="005801F6">
              <w:rPr>
                <w:rFonts w:ascii="Arial" w:hAnsi="Arial" w:cs="Arial"/>
                <w:b/>
                <w:bCs/>
                <w:spacing w:val="-1"/>
                <w:lang w:val="en-GB"/>
              </w:rPr>
              <w:t>PRESS CONTACT</w:t>
            </w:r>
            <w:r w:rsidRPr="005801F6">
              <w:rPr>
                <w:rFonts w:ascii="Arial" w:hAnsi="Arial" w:cs="Arial"/>
                <w:b/>
                <w:bCs/>
                <w:spacing w:val="2"/>
                <w:lang w:val="en-GB"/>
              </w:rPr>
              <w:t xml:space="preserve"> </w:t>
            </w:r>
          </w:p>
          <w:p w14:paraId="3D06D43A" w14:textId="77777777" w:rsidR="008A062B" w:rsidRPr="005801F6" w:rsidRDefault="008A062B" w:rsidP="008A062B">
            <w:pPr>
              <w:jc w:val="center"/>
              <w:rPr>
                <w:rFonts w:ascii="Arial" w:hAnsi="Arial" w:cs="Arial"/>
                <w:lang w:val="en-GB"/>
              </w:rPr>
            </w:pPr>
            <w:r w:rsidRPr="005801F6">
              <w:rPr>
                <w:rFonts w:ascii="Arial" w:hAnsi="Arial" w:cs="Arial"/>
                <w:b/>
                <w:bCs/>
                <w:spacing w:val="-2"/>
                <w:lang w:val="en-GB"/>
              </w:rPr>
              <w:lastRenderedPageBreak/>
              <w:t xml:space="preserve">Neil Atherton </w:t>
            </w:r>
            <w:r w:rsidRPr="005801F6">
              <w:rPr>
                <w:rFonts w:ascii="Arial" w:hAnsi="Arial" w:cs="Arial"/>
                <w:lang w:val="en-GB"/>
              </w:rPr>
              <w:t>+33 (0)1</w:t>
            </w:r>
            <w:r w:rsidRPr="005801F6">
              <w:rPr>
                <w:rFonts w:ascii="Arial" w:hAnsi="Arial" w:cs="Arial"/>
                <w:spacing w:val="-2"/>
                <w:lang w:val="en-GB"/>
              </w:rPr>
              <w:t xml:space="preserve"> </w:t>
            </w:r>
            <w:r w:rsidRPr="005801F6">
              <w:rPr>
                <w:rFonts w:ascii="Arial" w:hAnsi="Arial" w:cs="Arial"/>
                <w:lang w:val="en-GB"/>
              </w:rPr>
              <w:t>55</w:t>
            </w:r>
            <w:r w:rsidRPr="005801F6">
              <w:rPr>
                <w:rFonts w:ascii="Arial" w:hAnsi="Arial" w:cs="Arial"/>
                <w:spacing w:val="-2"/>
                <w:lang w:val="en-GB"/>
              </w:rPr>
              <w:t xml:space="preserve"> </w:t>
            </w:r>
            <w:r w:rsidRPr="005801F6">
              <w:rPr>
                <w:rFonts w:ascii="Arial" w:hAnsi="Arial" w:cs="Arial"/>
                <w:spacing w:val="-1"/>
                <w:lang w:val="en-GB"/>
              </w:rPr>
              <w:t>02</w:t>
            </w:r>
            <w:r w:rsidRPr="005801F6">
              <w:rPr>
                <w:rFonts w:ascii="Arial" w:hAnsi="Arial" w:cs="Arial"/>
                <w:spacing w:val="-2"/>
                <w:lang w:val="en-GB"/>
              </w:rPr>
              <w:t xml:space="preserve"> </w:t>
            </w:r>
            <w:r w:rsidRPr="005801F6">
              <w:rPr>
                <w:rFonts w:ascii="Arial" w:hAnsi="Arial" w:cs="Arial"/>
                <w:lang w:val="en-GB"/>
              </w:rPr>
              <w:t xml:space="preserve">27 84 </w:t>
            </w:r>
            <w:hyperlink r:id="rId11" w:history="1">
              <w:r w:rsidRPr="005801F6">
                <w:rPr>
                  <w:rStyle w:val="Lienhypertexte"/>
                  <w:rFonts w:ascii="Arial" w:hAnsi="Arial" w:cs="Arial"/>
                  <w:lang w:val="en-GB"/>
                </w:rPr>
                <w:t>n.atherton@open2europe.com</w:t>
              </w:r>
            </w:hyperlink>
          </w:p>
          <w:p w14:paraId="4A0888D7" w14:textId="77777777" w:rsidR="008A062B" w:rsidRPr="005801F6" w:rsidRDefault="008A062B" w:rsidP="008A062B">
            <w:pPr>
              <w:rPr>
                <w:rFonts w:ascii="Arial" w:hAnsi="Arial" w:cs="Arial"/>
                <w:bCs/>
                <w:lang w:val="en-GB"/>
              </w:rPr>
            </w:pPr>
          </w:p>
          <w:p w14:paraId="44767CCB" w14:textId="77777777" w:rsidR="008A062B" w:rsidRDefault="008A062B" w:rsidP="008A062B">
            <w:pPr>
              <w:rPr>
                <w:rFonts w:ascii="Arial" w:hAnsi="Arial" w:cs="Arial"/>
                <w:bCs/>
                <w:lang w:val="en-GB"/>
              </w:rPr>
            </w:pPr>
          </w:p>
          <w:p w14:paraId="109E45AD" w14:textId="77777777" w:rsidR="008A062B" w:rsidRPr="005801F6" w:rsidRDefault="008A062B" w:rsidP="008A062B">
            <w:pPr>
              <w:rPr>
                <w:rFonts w:ascii="Arial" w:hAnsi="Arial" w:cs="Arial"/>
                <w:bCs/>
                <w:lang w:val="en-GB"/>
              </w:rPr>
            </w:pPr>
          </w:p>
          <w:p w14:paraId="22E3ADBB" w14:textId="77777777" w:rsidR="008A062B" w:rsidRPr="005801F6" w:rsidRDefault="008A062B" w:rsidP="008A062B">
            <w:pPr>
              <w:jc w:val="center"/>
              <w:rPr>
                <w:rFonts w:ascii="Arial" w:hAnsi="Arial" w:cs="Arial"/>
                <w:bCs/>
                <w:iCs/>
                <w:noProof/>
              </w:rPr>
            </w:pPr>
            <w:r w:rsidRPr="005801F6">
              <w:rPr>
                <w:rFonts w:ascii="Arial" w:hAnsi="Arial" w:cs="Arial"/>
                <w:lang w:val="en-GB"/>
              </w:rPr>
              <w:t>Unsubscribe</w:t>
            </w:r>
          </w:p>
          <w:p w14:paraId="492A35A0" w14:textId="77777777" w:rsidR="00E2112C" w:rsidRDefault="00E2112C" w:rsidP="00E2112C">
            <w:pPr>
              <w:shd w:val="clear" w:color="auto" w:fill="FFFFFF" w:themeFill="background1"/>
              <w:spacing w:after="240"/>
              <w:rPr>
                <w:rFonts w:ascii="Arial" w:hAnsi="Arial" w:cs="Arial"/>
                <w:b/>
                <w:bCs/>
                <w:sz w:val="21"/>
                <w:szCs w:val="21"/>
              </w:rPr>
            </w:pPr>
          </w:p>
          <w:p w14:paraId="05D9B2FE" w14:textId="77777777" w:rsidR="00E2112C" w:rsidRPr="007B4DFD" w:rsidRDefault="00E2112C" w:rsidP="00E2112C"/>
          <w:p w14:paraId="0BB47E9D" w14:textId="77777777" w:rsidR="00E2112C" w:rsidRPr="007B4DFD" w:rsidRDefault="00E2112C" w:rsidP="00E2112C"/>
          <w:p w14:paraId="2669F353" w14:textId="77777777" w:rsidR="00E2112C" w:rsidRDefault="00E2112C" w:rsidP="00E2112C"/>
          <w:p w14:paraId="5B224534" w14:textId="77777777" w:rsidR="00E2112C" w:rsidRDefault="00E2112C" w:rsidP="00E2112C"/>
        </w:tc>
      </w:tr>
    </w:tbl>
    <w:p w14:paraId="58D64D0A" w14:textId="77777777" w:rsidR="007C62B3" w:rsidRPr="00E2112C" w:rsidRDefault="007C62B3" w:rsidP="00E2112C"/>
    <w:sectPr w:rsidR="007C62B3" w:rsidRPr="00E2112C" w:rsidSect="00211380">
      <w:footerReference w:type="defaul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2DCB2" w14:textId="77777777" w:rsidR="00EC0D12" w:rsidRDefault="00EC0D12">
      <w:pPr>
        <w:spacing w:after="0" w:line="240" w:lineRule="auto"/>
      </w:pPr>
      <w:r>
        <w:separator/>
      </w:r>
    </w:p>
  </w:endnote>
  <w:endnote w:type="continuationSeparator" w:id="0">
    <w:p w14:paraId="3B70AD73" w14:textId="77777777" w:rsidR="00EC0D12" w:rsidRDefault="00EC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Bold">
    <w:altName w:val="Calibri"/>
    <w:charset w:val="00"/>
    <w:family w:val="swiss"/>
    <w:pitch w:val="variable"/>
    <w:sig w:usb0="800000A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01320"/>
      <w:docPartObj>
        <w:docPartGallery w:val="Page Numbers (Bottom of Page)"/>
        <w:docPartUnique/>
      </w:docPartObj>
    </w:sdtPr>
    <w:sdtEndPr/>
    <w:sdtContent>
      <w:p w14:paraId="1BD0BF9C" w14:textId="632E0AF9" w:rsidR="005C531D" w:rsidRDefault="0084511C">
        <w:pPr>
          <w:pStyle w:val="Pieddepage"/>
          <w:jc w:val="right"/>
        </w:pPr>
        <w:r>
          <w:fldChar w:fldCharType="begin"/>
        </w:r>
        <w:r>
          <w:instrText>PAGE   \* MERGEFORMAT</w:instrText>
        </w:r>
        <w:r>
          <w:fldChar w:fldCharType="separate"/>
        </w:r>
        <w:r w:rsidR="00060F1C">
          <w:rPr>
            <w:noProof/>
          </w:rPr>
          <w:t>3</w:t>
        </w:r>
        <w:r>
          <w:fldChar w:fldCharType="end"/>
        </w:r>
      </w:p>
    </w:sdtContent>
  </w:sdt>
  <w:p w14:paraId="325385D6" w14:textId="77777777" w:rsidR="005C531D" w:rsidRDefault="00EC0D1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30275" w14:textId="77777777" w:rsidR="00EC0D12" w:rsidRDefault="00EC0D12">
      <w:pPr>
        <w:spacing w:after="0" w:line="240" w:lineRule="auto"/>
      </w:pPr>
      <w:r>
        <w:separator/>
      </w:r>
    </w:p>
  </w:footnote>
  <w:footnote w:type="continuationSeparator" w:id="0">
    <w:p w14:paraId="289AB450" w14:textId="77777777" w:rsidR="00EC0D12" w:rsidRDefault="00EC0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35"/>
    <w:rsid w:val="00015B71"/>
    <w:rsid w:val="00060F1C"/>
    <w:rsid w:val="00106AC2"/>
    <w:rsid w:val="001473CC"/>
    <w:rsid w:val="0019079F"/>
    <w:rsid w:val="00244045"/>
    <w:rsid w:val="002A3F48"/>
    <w:rsid w:val="003E6331"/>
    <w:rsid w:val="00567D35"/>
    <w:rsid w:val="00617AB4"/>
    <w:rsid w:val="00672320"/>
    <w:rsid w:val="006F3855"/>
    <w:rsid w:val="00743C62"/>
    <w:rsid w:val="00764246"/>
    <w:rsid w:val="007B4DFD"/>
    <w:rsid w:val="007C5548"/>
    <w:rsid w:val="007C62B3"/>
    <w:rsid w:val="00814835"/>
    <w:rsid w:val="0084511C"/>
    <w:rsid w:val="008A062B"/>
    <w:rsid w:val="008B69BE"/>
    <w:rsid w:val="00906A22"/>
    <w:rsid w:val="00931DD7"/>
    <w:rsid w:val="00940A22"/>
    <w:rsid w:val="00941F2A"/>
    <w:rsid w:val="009610E1"/>
    <w:rsid w:val="0097360A"/>
    <w:rsid w:val="009747AA"/>
    <w:rsid w:val="009771C8"/>
    <w:rsid w:val="0098670F"/>
    <w:rsid w:val="009A67EE"/>
    <w:rsid w:val="00A247F5"/>
    <w:rsid w:val="00A25004"/>
    <w:rsid w:val="00A4668D"/>
    <w:rsid w:val="00AC4E6E"/>
    <w:rsid w:val="00AE3E80"/>
    <w:rsid w:val="00B1458C"/>
    <w:rsid w:val="00B40F8D"/>
    <w:rsid w:val="00BC3562"/>
    <w:rsid w:val="00C919E0"/>
    <w:rsid w:val="00D704BD"/>
    <w:rsid w:val="00D76061"/>
    <w:rsid w:val="00DA5937"/>
    <w:rsid w:val="00DB2241"/>
    <w:rsid w:val="00DF0E2E"/>
    <w:rsid w:val="00DF5F7E"/>
    <w:rsid w:val="00E1444D"/>
    <w:rsid w:val="00E2112C"/>
    <w:rsid w:val="00E21BAF"/>
    <w:rsid w:val="00E6358C"/>
    <w:rsid w:val="00EC01A9"/>
    <w:rsid w:val="00EC0D12"/>
    <w:rsid w:val="00EE241B"/>
    <w:rsid w:val="00EF1FD1"/>
    <w:rsid w:val="00F3671D"/>
    <w:rsid w:val="00FE53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3A49"/>
  <w15:chartTrackingRefBased/>
  <w15:docId w15:val="{30895785-E84E-4A43-AA08-E8DF3770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B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B4D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DFD"/>
  </w:style>
  <w:style w:type="paragraph" w:styleId="Textedebulles">
    <w:name w:val="Balloon Text"/>
    <w:basedOn w:val="Normal"/>
    <w:link w:val="TextedebullesCar"/>
    <w:uiPriority w:val="99"/>
    <w:semiHidden/>
    <w:unhideWhenUsed/>
    <w:rsid w:val="00DA593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A5937"/>
    <w:rPr>
      <w:rFonts w:ascii="Times New Roman" w:hAnsi="Times New Roman" w:cs="Times New Roman"/>
      <w:sz w:val="18"/>
      <w:szCs w:val="18"/>
    </w:rPr>
  </w:style>
  <w:style w:type="character" w:styleId="Lienhypertexte">
    <w:name w:val="Hyperlink"/>
    <w:basedOn w:val="Policepardfaut"/>
    <w:uiPriority w:val="99"/>
    <w:unhideWhenUsed/>
    <w:rsid w:val="009747AA"/>
    <w:rPr>
      <w:color w:val="0563C1"/>
      <w:u w:val="single"/>
    </w:rPr>
  </w:style>
  <w:style w:type="character" w:styleId="Lienhypertextesuivivisit">
    <w:name w:val="FollowedHyperlink"/>
    <w:basedOn w:val="Policepardfaut"/>
    <w:uiPriority w:val="99"/>
    <w:semiHidden/>
    <w:unhideWhenUsed/>
    <w:rsid w:val="008A062B"/>
    <w:rPr>
      <w:color w:val="954F72" w:themeColor="followedHyperlink"/>
      <w:u w:val="single"/>
    </w:rPr>
  </w:style>
  <w:style w:type="character" w:customStyle="1" w:styleId="UnresolvedMention">
    <w:name w:val="Unresolved Mention"/>
    <w:basedOn w:val="Policepardfaut"/>
    <w:uiPriority w:val="99"/>
    <w:semiHidden/>
    <w:unhideWhenUsed/>
    <w:rsid w:val="00015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ite-paris-saclay.fr/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n.atherton@open2europe.com" TargetMode="External"/><Relationship Id="rId5" Type="http://schemas.openxmlformats.org/officeDocument/2006/relationships/endnotes" Target="endnotes.xml"/><Relationship Id="rId10" Type="http://schemas.openxmlformats.org/officeDocument/2006/relationships/hyperlink" Target="http://www.aphp.fr"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5720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Degrez</dc:creator>
  <cp:keywords/>
  <dc:description/>
  <cp:lastModifiedBy>SALEM Sandya</cp:lastModifiedBy>
  <cp:revision>3</cp:revision>
  <dcterms:created xsi:type="dcterms:W3CDTF">2020-09-03T13:40:00Z</dcterms:created>
  <dcterms:modified xsi:type="dcterms:W3CDTF">2020-09-03T13:41:00Z</dcterms:modified>
</cp:coreProperties>
</file>