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516E" w14:textId="77777777" w:rsidR="00291D86" w:rsidRDefault="00291D86" w:rsidP="00291D86">
      <w:pPr>
        <w:pStyle w:val="Default"/>
      </w:pPr>
    </w:p>
    <w:p w14:paraId="7004D53B" w14:textId="569B1EE6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L’Université Paris-Saclay, actrice majeure de l’innovation </w:t>
      </w:r>
    </w:p>
    <w:p w14:paraId="04752456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Aujourd’hui 1</w:t>
      </w:r>
      <w:r>
        <w:rPr>
          <w:sz w:val="14"/>
          <w:szCs w:val="14"/>
        </w:rPr>
        <w:t xml:space="preserve">re </w:t>
      </w:r>
      <w:r>
        <w:rPr>
          <w:sz w:val="22"/>
          <w:szCs w:val="22"/>
        </w:rPr>
        <w:t xml:space="preserve">université de France </w:t>
      </w:r>
    </w:p>
    <w:p w14:paraId="1CFF99F0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13% de la recherche française </w:t>
      </w:r>
    </w:p>
    <w:p w14:paraId="14C1437D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220 laboratoires </w:t>
      </w:r>
    </w:p>
    <w:p w14:paraId="5546C7D5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Plus de 500 plateformes expérimentales </w:t>
      </w:r>
    </w:p>
    <w:p w14:paraId="176D23C7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Plus de 335 contrats avec les entreprises </w:t>
      </w:r>
    </w:p>
    <w:p w14:paraId="51024443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Plus de 50 entreprises deeptech créées chaque année </w:t>
      </w:r>
    </w:p>
    <w:p w14:paraId="5F01964E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Qui place ses relations avec les entreprises en coeur de sa stratégie </w:t>
      </w:r>
    </w:p>
    <w:p w14:paraId="5AF0119D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Encourage l’entrepreneuriat auprès de sa communauté universitaire </w:t>
      </w:r>
    </w:p>
    <w:p w14:paraId="46E0A7B9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Et favorise le transfert de technologie </w:t>
      </w:r>
    </w:p>
    <w:p w14:paraId="338F4F6E" w14:textId="67A92B1F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 cet écosystème et de ses ambitions est né le Pôle universitaire d’innovation porté par l’Université Paris-Saclay </w:t>
      </w:r>
    </w:p>
    <w:p w14:paraId="1BE70608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Qui réunit des acteurs forts du territoire sous un même label (logo France 2030) </w:t>
      </w:r>
    </w:p>
    <w:p w14:paraId="08DF16EF" w14:textId="77777777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Avec pour objectifs communs </w:t>
      </w:r>
    </w:p>
    <w:p w14:paraId="717F80E0" w14:textId="6ED32C5B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La sensibilisation et la formation des entrepreneur·euses de demain </w:t>
      </w:r>
    </w:p>
    <w:p w14:paraId="437FF81A" w14:textId="3630C22C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Une meilleure intégration des technologies au marché</w:t>
      </w:r>
    </w:p>
    <w:p w14:paraId="1F5DD87C" w14:textId="3E9F2601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L’accompagnement de la communauté universitaire au transfert de technologie et à la création d’entreprises </w:t>
      </w:r>
    </w:p>
    <w:p w14:paraId="6E46DB1F" w14:textId="4DFE5334" w:rsidR="00291D86" w:rsidRDefault="00291D86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Renforcer l’innovation et multiplier les partenariats avec le monde socio-économique</w:t>
      </w:r>
    </w:p>
    <w:p w14:paraId="2F511871" w14:textId="7FC9E335" w:rsidR="00291D86" w:rsidRDefault="00321A5B" w:rsidP="00291D86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Innovation Alliance Université Paris-Saclay</w:t>
      </w:r>
      <w:r w:rsidR="00291D86">
        <w:rPr>
          <w:sz w:val="22"/>
          <w:szCs w:val="22"/>
        </w:rPr>
        <w:t xml:space="preserve"> (</w:t>
      </w:r>
      <w:r w:rsidR="00291D86">
        <w:rPr>
          <w:i/>
          <w:iCs/>
          <w:sz w:val="22"/>
          <w:szCs w:val="22"/>
        </w:rPr>
        <w:t>logos des membres fondateurs : l’Université Paris-Saclay ; Université d’Évry et Université de Versailles Saint-Quentin-en- Yvelines, CentraleSupélec, AgroParisTech, ENS Paris-Saclay, l’Institut d’Optique Graduate School, CNRS, INRAE, Inria, Inserm, IncubAlliance et la SATT Paris-Saclay, et logos des membres partenaires : CEA Paris-Saclay ; ONERA - l'Office national d'études et de recherches aérospatiales; Gustave Roussy ; Genopole ; Institut de recherche technologique SystemX ; Institut pour la Transition Énergétique Vedecom ; Communauté d’agglomération de Paris-Saclay ; Communauté d’agglomération Saint-Quentin-en-Yvelines ; Communauté d’agglomération Grand Paris Sud ; Association Vallée Scientifique de la Bièvre ; Etablissement public territorial (EPT) Grand Orly Seine Bièvre ; Systematic ; Medicen ; French Tech Paris-Saclay ; EPAPS - Etablissement public d’aménagement de Paris-Saclay</w:t>
      </w:r>
      <w:r w:rsidR="00291D86">
        <w:rPr>
          <w:sz w:val="22"/>
          <w:szCs w:val="22"/>
        </w:rPr>
        <w:t xml:space="preserve">) </w:t>
      </w:r>
      <w:r>
        <w:rPr>
          <w:sz w:val="22"/>
          <w:szCs w:val="22"/>
        </w:rPr>
        <w:t>Financé par (logo France 2030)</w:t>
      </w:r>
    </w:p>
    <w:p w14:paraId="5E12649B" w14:textId="7F1E562C" w:rsidR="00291D86" w:rsidRDefault="00291D86" w:rsidP="00291D86">
      <w:r>
        <w:t>Crédits photos et vidéos : Université Paris-Saclay ; Inria ; Institut d’Optique Graduate School ; NEA IRT System X ; Polytech Paris-Saclay ; UVSQ Prodigima Latmos, Mustapha Meftah ; Vedecom</w:t>
      </w:r>
    </w:p>
    <w:p w14:paraId="49DCC1CE" w14:textId="067FC729" w:rsidR="00321A5B" w:rsidRDefault="00321A5B" w:rsidP="00291D86">
      <w:r>
        <w:t xml:space="preserve">Logos des membres de l’Université Paris-Saclay : Faculté de médecine, </w:t>
      </w:r>
      <w:r w:rsidR="00726E47">
        <w:t>F</w:t>
      </w:r>
      <w:r>
        <w:t xml:space="preserve">aculté de pharmacie, </w:t>
      </w:r>
      <w:r w:rsidR="00726E47">
        <w:t>Faculté des sciences d’Orsay, F</w:t>
      </w:r>
      <w:r>
        <w:t>aculté des sciences du sport,</w:t>
      </w:r>
      <w:r w:rsidR="00726E47">
        <w:t xml:space="preserve"> Faculté Jean Monnet, IUT de Cachan, IUT d’Orsay, IUT de Sceaux, Polytech Paris-Saclay, AgroParisTech, CentraleSupélec, ENS Paris-Saclay, Institut d’Optique Graduate School, l’Université de Versailles Saint-Quentin-en-Yvelines, L’Université d’Évry, CEA, CNRS, IHES, INRAE, Inria, Inserm, ONERA</w:t>
      </w:r>
    </w:p>
    <w:sectPr w:rsidR="0032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D86"/>
    <w:rsid w:val="00291D86"/>
    <w:rsid w:val="00321A5B"/>
    <w:rsid w:val="0037490B"/>
    <w:rsid w:val="007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6CA4"/>
  <w15:chartTrackingRefBased/>
  <w15:docId w15:val="{3A842D2B-0196-43A9-A80C-5F83FC19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1D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AF9F40C13AD540BCC6E44BE288852F" ma:contentTypeVersion="14" ma:contentTypeDescription="Crée un document." ma:contentTypeScope="" ma:versionID="f44a1b22d7b1749762ecf8388c9e3367">
  <xsd:schema xmlns:xsd="http://www.w3.org/2001/XMLSchema" xmlns:xs="http://www.w3.org/2001/XMLSchema" xmlns:p="http://schemas.microsoft.com/office/2006/metadata/properties" xmlns:ns3="8c95c195-ac2e-4d29-b505-d0c1942a2359" xmlns:ns4="f0880357-f646-4e12-b2fe-fb01064fc116" targetNamespace="http://schemas.microsoft.com/office/2006/metadata/properties" ma:root="true" ma:fieldsID="54ec4c3b405615516d86b0115a6a0a9d" ns3:_="" ns4:_="">
    <xsd:import namespace="8c95c195-ac2e-4d29-b505-d0c1942a2359"/>
    <xsd:import namespace="f0880357-f646-4e12-b2fe-fb01064fc1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c195-ac2e-4d29-b505-d0c1942a2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80357-f646-4e12-b2fe-fb01064fc11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95c195-ac2e-4d29-b505-d0c1942a235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3056EC-D529-4CE6-B0DF-E48AE9706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c195-ac2e-4d29-b505-d0c1942a2359"/>
    <ds:schemaRef ds:uri="f0880357-f646-4e12-b2fe-fb01064fc1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D4D342-6F49-4837-8F8D-FDB2B2115F09}">
  <ds:schemaRefs>
    <ds:schemaRef ds:uri="f0880357-f646-4e12-b2fe-fb01064fc116"/>
    <ds:schemaRef ds:uri="http://purl.org/dc/elements/1.1/"/>
    <ds:schemaRef ds:uri="http://schemas.microsoft.com/office/2006/metadata/properties"/>
    <ds:schemaRef ds:uri="8c95c195-ac2e-4d29-b505-d0c1942a2359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61DD1D6-E102-4F27-9C79-4865CAAA1B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Augusto Dos Santos</dc:creator>
  <cp:keywords/>
  <dc:description/>
  <cp:lastModifiedBy>Cindy Augusto Dos Santos</cp:lastModifiedBy>
  <cp:revision>2</cp:revision>
  <dcterms:created xsi:type="dcterms:W3CDTF">2025-06-06T10:19:00Z</dcterms:created>
  <dcterms:modified xsi:type="dcterms:W3CDTF">2025-06-06T10:19:00Z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0x010100BEAF9F40C13AD540BCC6E44BE288852F</vt:lpwstr>
  </property>
</Properties>
</file>