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4F" w:rsidRPr="00DB429F" w:rsidRDefault="0056104F" w:rsidP="00DB429F">
      <w:pPr>
        <w:pStyle w:val="Titre1"/>
        <w:jc w:val="center"/>
      </w:pPr>
      <w:bookmarkStart w:id="0" w:name="Portfolio"/>
      <w:bookmarkStart w:id="1" w:name="_Toc166768335"/>
      <w:bookmarkStart w:id="2" w:name="_GoBack"/>
      <w:bookmarkEnd w:id="0"/>
      <w:bookmarkEnd w:id="2"/>
      <w:r w:rsidRPr="00DB429F">
        <w:t>P</w:t>
      </w:r>
      <w:bookmarkStart w:id="3" w:name="_Hlk116245504"/>
      <w:r w:rsidRPr="00DB429F">
        <w:t>ortfolio</w:t>
      </w:r>
      <w:bookmarkEnd w:id="1"/>
      <w:bookmarkEnd w:id="3"/>
    </w:p>
    <w:p w:rsidR="0056104F" w:rsidRDefault="0056104F" w:rsidP="0056104F">
      <w:pPr>
        <w:rPr>
          <w:rFonts w:cs="Segoe UI"/>
          <w:szCs w:val="22"/>
        </w:rPr>
      </w:pPr>
      <w:r w:rsidRPr="00417001">
        <w:rPr>
          <w:rFonts w:cs="Segoe UI"/>
          <w:szCs w:val="22"/>
        </w:rPr>
        <w:t xml:space="preserve">Pour mémoire, le référentiel des compétences attendues des titulaires du diplôme de doctorat est défini par </w:t>
      </w:r>
      <w:hyperlink r:id="rId8">
        <w:r w:rsidRPr="0041700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417001">
        <w:rPr>
          <w:rFonts w:cs="Segoe UI"/>
          <w:szCs w:val="22"/>
        </w:rPr>
        <w:t xml:space="preserve">. </w:t>
      </w:r>
      <w:r>
        <w:rPr>
          <w:rFonts w:cs="Segoe UI"/>
          <w:szCs w:val="22"/>
        </w:rPr>
        <w:t xml:space="preserve">Il ne décrit pas ce que vous avez fait au cours de votre thèse, mais ce qu’on pourra vous confier ou attendre de vous une fois que vous serez </w:t>
      </w:r>
      <w:r w:rsidR="00A416FF">
        <w:rPr>
          <w:rFonts w:cs="Segoe UI"/>
          <w:szCs w:val="22"/>
        </w:rPr>
        <w:t>titulaire du diplôme de doctorat.</w:t>
      </w:r>
    </w:p>
    <w:p w:rsidR="006749B8" w:rsidRDefault="0056104F" w:rsidP="0056104F">
      <w:pPr>
        <w:rPr>
          <w:rFonts w:cs="Segoe UI"/>
          <w:szCs w:val="22"/>
        </w:rPr>
      </w:pPr>
      <w:r w:rsidRPr="00417001">
        <w:rPr>
          <w:rFonts w:cs="Segoe UI"/>
          <w:szCs w:val="22"/>
        </w:rPr>
        <w:t xml:space="preserve">Il est composé de </w:t>
      </w:r>
      <w:r w:rsidRPr="00417001">
        <w:rPr>
          <w:rFonts w:cs="Segoe UI"/>
          <w:b/>
          <w:szCs w:val="22"/>
        </w:rPr>
        <w:t>6 blocs de compétences</w:t>
      </w:r>
      <w:r w:rsidRPr="00417001">
        <w:rPr>
          <w:rFonts w:cs="Segoe UI"/>
          <w:szCs w:val="22"/>
        </w:rPr>
        <w:t xml:space="preserve">. </w:t>
      </w:r>
      <w:r w:rsidR="00A416FF">
        <w:rPr>
          <w:rFonts w:cs="Segoe UI"/>
          <w:szCs w:val="22"/>
        </w:rPr>
        <w:t>Vous êtes invités</w:t>
      </w:r>
      <w:r w:rsidRPr="00417001">
        <w:rPr>
          <w:rFonts w:cs="Segoe UI"/>
          <w:szCs w:val="22"/>
        </w:rPr>
        <w:t xml:space="preserve"> à noter, au fil de l’année</w:t>
      </w:r>
      <w:r>
        <w:rPr>
          <w:rFonts w:cs="Segoe UI"/>
          <w:szCs w:val="22"/>
        </w:rPr>
        <w:t xml:space="preserve">, </w:t>
      </w:r>
      <w:r w:rsidR="00A416FF">
        <w:rPr>
          <w:rFonts w:cs="Segoe UI"/>
          <w:szCs w:val="22"/>
        </w:rPr>
        <w:t xml:space="preserve">vos </w:t>
      </w:r>
      <w:r w:rsidRPr="00417001">
        <w:rPr>
          <w:rFonts w:cs="Segoe UI"/>
          <w:szCs w:val="22"/>
        </w:rPr>
        <w:t xml:space="preserve">réalisations, publications et communications, </w:t>
      </w:r>
      <w:r w:rsidR="00A416FF">
        <w:rPr>
          <w:rFonts w:cs="Segoe UI"/>
          <w:szCs w:val="22"/>
        </w:rPr>
        <w:t xml:space="preserve">les </w:t>
      </w:r>
      <w:r w:rsidRPr="00417001">
        <w:rPr>
          <w:rFonts w:cs="Segoe UI"/>
          <w:szCs w:val="22"/>
        </w:rPr>
        <w:t xml:space="preserve">actions entreprises, </w:t>
      </w:r>
      <w:r w:rsidR="00A416FF">
        <w:rPr>
          <w:rFonts w:cs="Segoe UI"/>
          <w:szCs w:val="22"/>
        </w:rPr>
        <w:t xml:space="preserve">les </w:t>
      </w:r>
      <w:r w:rsidRPr="00417001">
        <w:rPr>
          <w:rFonts w:cs="Segoe UI"/>
          <w:szCs w:val="22"/>
        </w:rPr>
        <w:t xml:space="preserve">techniques </w:t>
      </w:r>
      <w:r w:rsidR="00A416FF">
        <w:rPr>
          <w:rFonts w:cs="Segoe UI"/>
          <w:szCs w:val="22"/>
        </w:rPr>
        <w:t>maîtrisées</w:t>
      </w:r>
      <w:r>
        <w:rPr>
          <w:rFonts w:cs="Segoe UI"/>
          <w:szCs w:val="22"/>
        </w:rPr>
        <w:t xml:space="preserve">, </w:t>
      </w:r>
      <w:r w:rsidRPr="00417001">
        <w:rPr>
          <w:rFonts w:cs="Segoe UI"/>
          <w:szCs w:val="22"/>
        </w:rPr>
        <w:t xml:space="preserve">les formations </w:t>
      </w:r>
      <w:r w:rsidR="00A416FF">
        <w:rPr>
          <w:rFonts w:cs="Segoe UI"/>
          <w:szCs w:val="22"/>
        </w:rPr>
        <w:t xml:space="preserve">que vous avez </w:t>
      </w:r>
      <w:r w:rsidRPr="00417001">
        <w:rPr>
          <w:rFonts w:cs="Segoe UI"/>
          <w:szCs w:val="22"/>
        </w:rPr>
        <w:t xml:space="preserve">suivies, et plus généralement tout ce qui atteste ou est en lien avec les compétences citées ci-dessous. Une formation doctorale complète et équilibrée doit permettre de lister des activités, formations ou réalisations </w:t>
      </w:r>
      <w:r w:rsidRPr="006749B8">
        <w:rPr>
          <w:rFonts w:cs="Segoe UI"/>
          <w:b/>
          <w:szCs w:val="22"/>
        </w:rPr>
        <w:t>dans chacun des 6 blocs</w:t>
      </w:r>
      <w:r w:rsidRPr="00417001">
        <w:rPr>
          <w:rFonts w:cs="Segoe UI"/>
          <w:szCs w:val="22"/>
        </w:rPr>
        <w:t xml:space="preserve"> (</w:t>
      </w:r>
      <w:r>
        <w:rPr>
          <w:rFonts w:cs="Segoe UI"/>
          <w:szCs w:val="22"/>
        </w:rPr>
        <w:t xml:space="preserve">mais </w:t>
      </w:r>
      <w:r w:rsidRPr="00417001">
        <w:rPr>
          <w:rFonts w:cs="Segoe UI"/>
          <w:szCs w:val="22"/>
        </w:rPr>
        <w:t>pas nécessairement dans chaque ligne d’un bloc).</w:t>
      </w:r>
      <w:r w:rsidR="006749B8">
        <w:rPr>
          <w:rFonts w:cs="Segoe UI"/>
          <w:szCs w:val="22"/>
        </w:rPr>
        <w:t xml:space="preserve"> </w:t>
      </w:r>
    </w:p>
    <w:p w:rsidR="00DB429F" w:rsidRPr="00417001" w:rsidRDefault="006749B8" w:rsidP="0056104F">
      <w:pPr>
        <w:rPr>
          <w:rFonts w:cs="Segoe UI"/>
          <w:szCs w:val="22"/>
        </w:rPr>
      </w:pPr>
      <w:r>
        <w:rPr>
          <w:rFonts w:cs="Segoe UI"/>
          <w:szCs w:val="22"/>
        </w:rPr>
        <w:t>En cas d’arrêt de la thèse sans soutenance, un certificat d’acquisition d’un ou plusieurs blocs de compétences pourra être délivré, sur la base du portfolio et des rapports des CSI.</w:t>
      </w:r>
    </w:p>
    <w:p w:rsidR="0056104F" w:rsidRPr="00DB429F" w:rsidRDefault="0056104F" w:rsidP="00DB429F">
      <w:pPr>
        <w:spacing w:after="0" w:line="252" w:lineRule="auto"/>
        <w:rPr>
          <w:rFonts w:cs="Segoe UI"/>
          <w:b/>
          <w:szCs w:val="22"/>
        </w:rPr>
      </w:pPr>
      <w:bookmarkStart w:id="4" w:name="_Toc65052140"/>
      <w:bookmarkStart w:id="5" w:name="_Toc65083089"/>
      <w:bookmarkStart w:id="6" w:name="_Toc67865446"/>
      <w:bookmarkStart w:id="7" w:name="_Toc67865522"/>
      <w:bookmarkStart w:id="8" w:name="_Toc67954721"/>
      <w:bookmarkStart w:id="9" w:name="_Toc67954783"/>
      <w:bookmarkStart w:id="10" w:name="_Toc68623714"/>
      <w:bookmarkStart w:id="11" w:name="_Toc69151875"/>
      <w:bookmarkStart w:id="12" w:name="_Toc69152768"/>
      <w:bookmarkStart w:id="13" w:name="_Toc69152836"/>
      <w:bookmarkStart w:id="14" w:name="_Toc69152884"/>
      <w:bookmarkStart w:id="15" w:name="_Toc69301434"/>
      <w:r w:rsidRPr="00DB429F">
        <w:rPr>
          <w:rFonts w:cs="Segoe UI"/>
          <w:b/>
          <w:szCs w:val="22"/>
        </w:rPr>
        <w:t>Bloc 1 Conception et élaboration d'une démarche de recherche et développement, d'études et prospective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0"/>
        <w:gridCol w:w="4989"/>
      </w:tblGrid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Groupes de compétences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Compétences acquises</w:t>
            </w:r>
          </w:p>
        </w:tc>
      </w:tr>
      <w:tr w:rsidR="0056104F" w:rsidRPr="00DB429F" w:rsidTr="002E7939"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disposer</w:t>
            </w:r>
            <w:proofErr w:type="gramEnd"/>
            <w:r w:rsidRPr="00DB429F">
              <w:rPr>
                <w:rFonts w:cs="Segoe UI"/>
                <w:szCs w:val="22"/>
              </w:rPr>
              <w:t xml:space="preserve"> d'une expertise scientifique tant générale que spécifique d'un domaine de recherche et de travail déterminé ;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exemple : maîtrise de concepts, de méthodologies, de techniques ou d’outils numériques utiles pour mener les travaux de </w:t>
            </w:r>
            <w:proofErr w:type="gramStart"/>
            <w:r w:rsidRPr="00DB429F">
              <w:rPr>
                <w:rFonts w:cs="Segoe UI"/>
                <w:color w:val="808080"/>
                <w:szCs w:val="22"/>
              </w:rPr>
              <w:t>recherche..</w:t>
            </w:r>
            <w:proofErr w:type="gramEnd"/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faire</w:t>
            </w:r>
            <w:proofErr w:type="gramEnd"/>
            <w:r w:rsidRPr="00DB429F">
              <w:rPr>
                <w:rFonts w:cs="Segoe UI"/>
                <w:szCs w:val="22"/>
              </w:rPr>
              <w:t xml:space="preserve"> le point sur l'état et les limites des savoirs au sein d'un secteur d'activité déterminé, aux échelles locale, nationale et internationale ;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bibliographie portant sur le sujet, rédaction publication, chapitre de manuscrit...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identifier</w:t>
            </w:r>
            <w:proofErr w:type="gramEnd"/>
            <w:r w:rsidRPr="00DB429F">
              <w:rPr>
                <w:rFonts w:cs="Segoe UI"/>
                <w:szCs w:val="22"/>
              </w:rPr>
              <w:t xml:space="preserve"> et résoudre des problèmes complexes et nouveaux impliquant une pluralité de domaines, en mobilisant les connaissances et les savoir-faire les plus avancés ;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expliquer la démarche de recherche suivie pour la thèse lors d’une communication scientifique, un protocole de recherche...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identifier</w:t>
            </w:r>
            <w:proofErr w:type="gramEnd"/>
            <w:r w:rsidRPr="00DB429F">
              <w:rPr>
                <w:rFonts w:cs="Segoe UI"/>
                <w:szCs w:val="22"/>
              </w:rPr>
              <w:t xml:space="preserve"> les possibilités de ruptures conceptuelles et concevoir des axes d'innovation pour un secteur professionnel ;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initiatives, idées originales et connaissance de la littérature...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apporter</w:t>
            </w:r>
            <w:proofErr w:type="gramEnd"/>
            <w:r w:rsidRPr="00DB429F">
              <w:rPr>
                <w:rFonts w:cs="Segoe UI"/>
                <w:szCs w:val="22"/>
              </w:rPr>
              <w:t xml:space="preserve"> des contributions novatrices dans le cadre d'échanges de haut niveau, et dans des contextes internationaux ;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réunion de travail, échanges avec des personnes dans le cadre national, international, colloque, conférence...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s'adapter</w:t>
            </w:r>
            <w:proofErr w:type="gramEnd"/>
            <w:r w:rsidRPr="00DB429F">
              <w:rPr>
                <w:rFonts w:cs="Segoe UI"/>
                <w:szCs w:val="22"/>
              </w:rPr>
              <w:t xml:space="preserve"> en permanence aux nécessités de recherche et d'innovation au sein d'un secteur professionnel.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connaissance de l’entreprise, du laboratoire, des instances, des enjeux...</w:t>
            </w:r>
          </w:p>
        </w:tc>
      </w:tr>
    </w:tbl>
    <w:p w:rsidR="0056104F" w:rsidRPr="00DB429F" w:rsidRDefault="0056104F" w:rsidP="00DB429F">
      <w:pPr>
        <w:spacing w:after="0" w:line="252" w:lineRule="auto"/>
        <w:rPr>
          <w:rFonts w:cs="Segoe UI"/>
          <w:szCs w:val="22"/>
        </w:rPr>
      </w:pPr>
    </w:p>
    <w:p w:rsidR="0056104F" w:rsidRPr="00DB429F" w:rsidRDefault="0056104F" w:rsidP="00DB429F">
      <w:pPr>
        <w:spacing w:after="0" w:line="252" w:lineRule="auto"/>
        <w:rPr>
          <w:rFonts w:cs="Segoe UI"/>
          <w:b/>
          <w:szCs w:val="22"/>
        </w:rPr>
      </w:pPr>
      <w:bookmarkStart w:id="16" w:name="_Toc69152885"/>
      <w:bookmarkStart w:id="17" w:name="_Toc65052141"/>
      <w:bookmarkStart w:id="18" w:name="_Toc69301435"/>
      <w:bookmarkStart w:id="19" w:name="_Toc69152837"/>
      <w:bookmarkStart w:id="20" w:name="_Toc69152769"/>
      <w:bookmarkStart w:id="21" w:name="_Toc69151876"/>
      <w:bookmarkStart w:id="22" w:name="_Toc68623715"/>
      <w:bookmarkStart w:id="23" w:name="_Toc67954784"/>
      <w:bookmarkStart w:id="24" w:name="_Toc67954722"/>
      <w:bookmarkStart w:id="25" w:name="_Toc67865523"/>
      <w:bookmarkStart w:id="26" w:name="_Toc67865447"/>
      <w:bookmarkStart w:id="27" w:name="_Toc65083090"/>
      <w:bookmarkStart w:id="28" w:name="_Toc166765203"/>
      <w:r w:rsidRPr="00DB429F">
        <w:rPr>
          <w:rFonts w:cs="Segoe UI"/>
          <w:b/>
          <w:szCs w:val="22"/>
        </w:rPr>
        <w:t>Bloc 2 Mise en œuvre d'une démarche de recherche et développement, d'études et prospective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0"/>
        <w:gridCol w:w="4989"/>
      </w:tblGrid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Groupes de compétences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Compétences acquises</w:t>
            </w:r>
          </w:p>
        </w:tc>
      </w:tr>
      <w:tr w:rsidR="0056104F" w:rsidRPr="00DB429F" w:rsidTr="002E7939"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mettre</w:t>
            </w:r>
            <w:proofErr w:type="gramEnd"/>
            <w:r w:rsidRPr="00DB429F">
              <w:rPr>
                <w:rFonts w:cs="Segoe UI"/>
                <w:szCs w:val="22"/>
              </w:rPr>
              <w:t xml:space="preserve"> en œuvre les méthodes et les outils de la recherche en lien avec l'innovation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mise en œuvre d’un protocole de recherche, contributions au développement d’expériences, d’outils numériques...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mettre</w:t>
            </w:r>
            <w:proofErr w:type="gramEnd"/>
            <w:r w:rsidRPr="00DB429F">
              <w:rPr>
                <w:rFonts w:cs="Segoe UI"/>
                <w:szCs w:val="22"/>
              </w:rPr>
              <w:t xml:space="preserve"> en œuvre les principes, outils et démarches d'évaluation des coûts et de financement d'une démarche d'innovation ou de R&amp;D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exemple : connaissance et participation à des projets de financements, achat matériel, avoir des ordres de grandeurs par exemple sur le cout « employeur » d’un contrat doctorat ou d’un post-doc </w:t>
            </w:r>
            <w:proofErr w:type="gramStart"/>
            <w:r w:rsidRPr="00DB429F">
              <w:rPr>
                <w:rFonts w:cs="Segoe UI"/>
                <w:color w:val="808080"/>
                <w:szCs w:val="22"/>
              </w:rPr>
              <w:t>etc...</w:t>
            </w:r>
            <w:proofErr w:type="gramEnd"/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garantir</w:t>
            </w:r>
            <w:proofErr w:type="gramEnd"/>
            <w:r w:rsidRPr="00DB429F">
              <w:rPr>
                <w:rFonts w:cs="Segoe UI"/>
                <w:szCs w:val="22"/>
              </w:rPr>
              <w:t xml:space="preserve"> la validité des travaux ainsi que leur déontologie et leur confidentialité en mettant en œuvre les dispositifs de contrôle adaptés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exemple : avoir suivi une formation sur l’intégrité scientifique, maîtriser les conditions de validation des résultats de recherche, les incertitudes etc., 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gérer</w:t>
            </w:r>
            <w:proofErr w:type="gramEnd"/>
            <w:r w:rsidRPr="00DB429F">
              <w:rPr>
                <w:rFonts w:cs="Segoe UI"/>
                <w:szCs w:val="22"/>
              </w:rPr>
              <w:t xml:space="preserve"> les contraintes temporelles des activités d'études, d'innovation ou de R&amp;D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</w:t>
            </w:r>
            <w:proofErr w:type="gramStart"/>
            <w:r w:rsidRPr="00DB429F">
              <w:rPr>
                <w:rFonts w:cs="Segoe UI"/>
                <w:color w:val="808080"/>
                <w:szCs w:val="22"/>
              </w:rPr>
              <w:t>exemple:</w:t>
            </w:r>
            <w:proofErr w:type="gramEnd"/>
            <w:r w:rsidRPr="00DB429F">
              <w:rPr>
                <w:rFonts w:cs="Segoe UI"/>
                <w:color w:val="808080"/>
                <w:szCs w:val="22"/>
              </w:rPr>
              <w:t xml:space="preserve"> gestion du temps, communication avec les personnes et équipes, gestion de deadlines...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mettre</w:t>
            </w:r>
            <w:proofErr w:type="gramEnd"/>
            <w:r w:rsidRPr="00DB429F">
              <w:rPr>
                <w:rFonts w:cs="Segoe UI"/>
                <w:szCs w:val="22"/>
              </w:rPr>
              <w:t xml:space="preserve"> en œuvre les facteurs d'engagement, de gestion des risques et d'autonomie nécessaire à la finalisation d'un projet R&amp;D, d'études ou d'innovation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</w:t>
            </w:r>
            <w:proofErr w:type="gramStart"/>
            <w:r w:rsidRPr="00DB429F">
              <w:rPr>
                <w:rFonts w:cs="Segoe UI"/>
                <w:color w:val="808080"/>
                <w:szCs w:val="22"/>
              </w:rPr>
              <w:t>exemple:</w:t>
            </w:r>
            <w:proofErr w:type="gramEnd"/>
            <w:r w:rsidRPr="00DB429F">
              <w:rPr>
                <w:rFonts w:cs="Segoe UI"/>
                <w:color w:val="808080"/>
                <w:szCs w:val="22"/>
              </w:rPr>
              <w:t xml:space="preserve"> initiatives et prises de risques mesurées en tenant compte des objectifs du groupe, de l’unité...</w:t>
            </w:r>
          </w:p>
        </w:tc>
      </w:tr>
    </w:tbl>
    <w:p w:rsidR="0056104F" w:rsidRPr="00DB429F" w:rsidRDefault="0056104F" w:rsidP="00DB429F">
      <w:pPr>
        <w:spacing w:after="0" w:line="252" w:lineRule="auto"/>
        <w:rPr>
          <w:rFonts w:cs="Segoe UI"/>
          <w:szCs w:val="22"/>
        </w:rPr>
      </w:pPr>
    </w:p>
    <w:p w:rsidR="0056104F" w:rsidRPr="00DB429F" w:rsidRDefault="0056104F" w:rsidP="00DB429F">
      <w:pPr>
        <w:spacing w:after="0" w:line="252" w:lineRule="auto"/>
        <w:rPr>
          <w:rFonts w:cs="Segoe UI"/>
          <w:b/>
          <w:szCs w:val="22"/>
        </w:rPr>
      </w:pPr>
      <w:bookmarkStart w:id="29" w:name="_Toc69152886"/>
      <w:bookmarkStart w:id="30" w:name="_Toc68623716"/>
      <w:bookmarkStart w:id="31" w:name="_Toc67954723"/>
      <w:bookmarkStart w:id="32" w:name="_Toc65083091"/>
      <w:bookmarkStart w:id="33" w:name="_Toc67865448"/>
      <w:bookmarkStart w:id="34" w:name="_Toc67865524"/>
      <w:bookmarkStart w:id="35" w:name="_Toc67954785"/>
      <w:bookmarkStart w:id="36" w:name="_Toc69152770"/>
      <w:bookmarkStart w:id="37" w:name="_Toc69152838"/>
      <w:bookmarkStart w:id="38" w:name="_Toc69301436"/>
      <w:bookmarkStart w:id="39" w:name="_Toc65052142"/>
      <w:bookmarkStart w:id="40" w:name="_Toc69151877"/>
      <w:bookmarkStart w:id="41" w:name="_Toc166765204"/>
      <w:r w:rsidRPr="00DB429F">
        <w:rPr>
          <w:rFonts w:cs="Segoe UI"/>
          <w:b/>
          <w:szCs w:val="22"/>
        </w:rPr>
        <w:t>Bloc 3 Valorisation et transfert des résultats d'une démarche R&amp;D, d'études et prospective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0"/>
        <w:gridCol w:w="4989"/>
      </w:tblGrid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Groupes de compétences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Compétences acquises</w:t>
            </w:r>
          </w:p>
        </w:tc>
      </w:tr>
      <w:tr w:rsidR="0056104F" w:rsidRPr="00DB429F" w:rsidTr="002E7939"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4F" w:rsidRPr="00DB429F" w:rsidRDefault="0056104F" w:rsidP="00DB429F">
            <w:pPr>
              <w:spacing w:after="0" w:line="252" w:lineRule="auto"/>
              <w:jc w:val="left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mettre</w:t>
            </w:r>
            <w:proofErr w:type="gramEnd"/>
            <w:r w:rsidRPr="00DB429F">
              <w:rPr>
                <w:rFonts w:cs="Segoe UI"/>
                <w:szCs w:val="22"/>
              </w:rPr>
              <w:t xml:space="preserve"> en œuvre les problématiques de transfert à des fins d'exploitation et valorisation des résultats ou des produits dans des secteurs économiques ou sociaux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exemple : exportation/adaptation des outils pour d’autres contextes, faire une mission d’expertise, 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4F" w:rsidRPr="00DB429F" w:rsidRDefault="0056104F" w:rsidP="00DB429F">
            <w:pPr>
              <w:spacing w:after="0" w:line="252" w:lineRule="auto"/>
              <w:jc w:val="left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respecter</w:t>
            </w:r>
            <w:proofErr w:type="gramEnd"/>
            <w:r w:rsidRPr="00DB429F">
              <w:rPr>
                <w:rFonts w:cs="Segoe UI"/>
                <w:szCs w:val="22"/>
              </w:rPr>
              <w:t xml:space="preserve"> les règles de propriété intellectuelle ou industrielle liées à un secteur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 Par exemple : connaître les règles de propriété intellectuelle de son projet doctoral, 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4F" w:rsidRPr="00DB429F" w:rsidRDefault="0056104F" w:rsidP="00DB429F">
            <w:pPr>
              <w:spacing w:after="0" w:line="252" w:lineRule="auto"/>
              <w:jc w:val="left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respecter</w:t>
            </w:r>
            <w:proofErr w:type="gramEnd"/>
            <w:r w:rsidRPr="00DB429F">
              <w:rPr>
                <w:rFonts w:cs="Segoe UI"/>
                <w:szCs w:val="22"/>
              </w:rPr>
              <w:t xml:space="preserve"> les principes de déontologie et d'éthique en relation avec l'intégrité des travaux et les impacts potentiels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formation à l’éthique de la recherche et à l’intégrité scientifique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4F" w:rsidRPr="00DB429F" w:rsidRDefault="0056104F" w:rsidP="00DB429F">
            <w:pPr>
              <w:spacing w:after="0" w:line="252" w:lineRule="auto"/>
              <w:jc w:val="left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mettre</w:t>
            </w:r>
            <w:proofErr w:type="gramEnd"/>
            <w:r w:rsidRPr="00DB429F">
              <w:rPr>
                <w:rFonts w:cs="Segoe UI"/>
                <w:szCs w:val="22"/>
              </w:rPr>
              <w:t xml:space="preserve"> en œuvre l'ensemble des dispositifs de publication à l'échelle internationale permettant de valoriser les savoirs et connaissances nouvelles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connaissance des journaux importants et du fonctionnement général de la publication de résultats, contributions à des publications, écriture de publications, actes de conférence...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4F" w:rsidRPr="00DB429F" w:rsidRDefault="0056104F" w:rsidP="00DB429F">
            <w:pPr>
              <w:spacing w:after="0" w:line="252" w:lineRule="auto"/>
              <w:jc w:val="left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mobiliser</w:t>
            </w:r>
            <w:proofErr w:type="gramEnd"/>
            <w:r w:rsidRPr="00DB429F">
              <w:rPr>
                <w:rFonts w:cs="Segoe UI"/>
                <w:szCs w:val="22"/>
              </w:rPr>
              <w:t xml:space="preserve"> les techniques de communication de données en « open data » pour valoriser des démarches et résultats.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avoir suivi une formation « science ouverte </w:t>
            </w:r>
            <w:proofErr w:type="gramStart"/>
            <w:r w:rsidRPr="00DB429F">
              <w:rPr>
                <w:rFonts w:cs="Segoe UI"/>
                <w:color w:val="808080"/>
                <w:szCs w:val="22"/>
              </w:rPr>
              <w:t>» ,</w:t>
            </w:r>
            <w:proofErr w:type="gramEnd"/>
            <w:r w:rsidRPr="00DB429F">
              <w:rPr>
                <w:rFonts w:cs="Segoe UI"/>
                <w:color w:val="808080"/>
                <w:szCs w:val="22"/>
              </w:rPr>
              <w:t xml:space="preserve"> formation aux données ouvertes FAIR, mise à disposition des outils, données...</w:t>
            </w:r>
          </w:p>
        </w:tc>
      </w:tr>
    </w:tbl>
    <w:p w:rsidR="00DB429F" w:rsidRPr="00DB429F" w:rsidRDefault="00DB429F" w:rsidP="00DB429F">
      <w:pPr>
        <w:pStyle w:val="Titre3"/>
        <w:spacing w:before="0" w:line="252" w:lineRule="auto"/>
        <w:rPr>
          <w:sz w:val="22"/>
          <w:szCs w:val="22"/>
        </w:rPr>
      </w:pPr>
      <w:bookmarkStart w:id="42" w:name="_Toc67954786"/>
      <w:bookmarkStart w:id="43" w:name="_Toc69151878"/>
      <w:bookmarkStart w:id="44" w:name="_Toc65052143"/>
      <w:bookmarkStart w:id="45" w:name="_Toc69301437"/>
      <w:bookmarkStart w:id="46" w:name="_Toc69152887"/>
      <w:bookmarkStart w:id="47" w:name="_Toc69152839"/>
      <w:bookmarkStart w:id="48" w:name="_Toc69152771"/>
      <w:bookmarkStart w:id="49" w:name="_Toc67954724"/>
      <w:bookmarkStart w:id="50" w:name="_Toc67865525"/>
      <w:bookmarkStart w:id="51" w:name="_Toc67865449"/>
      <w:bookmarkStart w:id="52" w:name="_Toc65083092"/>
      <w:bookmarkStart w:id="53" w:name="_Toc68623717"/>
      <w:bookmarkStart w:id="54" w:name="_Toc166765205"/>
    </w:p>
    <w:p w:rsidR="0056104F" w:rsidRPr="00DB429F" w:rsidRDefault="0056104F" w:rsidP="00DB429F">
      <w:pPr>
        <w:spacing w:after="0" w:line="252" w:lineRule="auto"/>
        <w:rPr>
          <w:rFonts w:cs="Segoe UI"/>
          <w:b/>
          <w:szCs w:val="22"/>
        </w:rPr>
      </w:pPr>
      <w:r w:rsidRPr="00DB429F">
        <w:rPr>
          <w:rFonts w:cs="Segoe UI"/>
          <w:b/>
          <w:szCs w:val="22"/>
        </w:rPr>
        <w:t>Bloc 4 Veille scientifique et technologique à l'échelle internationale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DB429F">
        <w:rPr>
          <w:rFonts w:cs="Segoe UI"/>
          <w:b/>
          <w:szCs w:val="22"/>
        </w:rPr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0"/>
        <w:gridCol w:w="4989"/>
      </w:tblGrid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Groupes de compétences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Compétences acquises</w:t>
            </w:r>
          </w:p>
        </w:tc>
      </w:tr>
      <w:tr w:rsidR="0056104F" w:rsidRPr="00DB429F" w:rsidTr="002E7939"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acquérir</w:t>
            </w:r>
            <w:proofErr w:type="gramEnd"/>
            <w:r w:rsidRPr="00DB429F">
              <w:rPr>
                <w:rFonts w:cs="Segoe UI"/>
                <w:szCs w:val="22"/>
              </w:rPr>
              <w:t>, synthétiser et analyser les données et informations scientifiques et technologiques d'avant-garde à l'échelle internationale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exemple : rédaction d’un chapitre de synthèse bibliographique, article/présentation de revue </w:t>
            </w:r>
            <w:proofErr w:type="gramStart"/>
            <w:r w:rsidRPr="00DB429F">
              <w:rPr>
                <w:rFonts w:cs="Segoe UI"/>
                <w:color w:val="808080"/>
                <w:szCs w:val="22"/>
              </w:rPr>
              <w:t>etc...</w:t>
            </w:r>
            <w:proofErr w:type="gramEnd"/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disposer</w:t>
            </w:r>
            <w:proofErr w:type="gramEnd"/>
            <w:r w:rsidRPr="00DB429F">
              <w:rPr>
                <w:rFonts w:cs="Segoe UI"/>
                <w:szCs w:val="22"/>
              </w:rPr>
              <w:t xml:space="preserve"> d'une compréhension, d'un recul et d'un regard critique sur l'ensemble des informations de pointe disponibles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exemple : avoir mis ses résultats en perspective de résultats antérieurs d’autres chercheurs, 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dépasser</w:t>
            </w:r>
            <w:proofErr w:type="gramEnd"/>
            <w:r w:rsidRPr="00DB429F">
              <w:rPr>
                <w:rFonts w:cs="Segoe UI"/>
                <w:szCs w:val="22"/>
              </w:rPr>
              <w:t xml:space="preserve"> les frontières des données et du savoir disponibles par croisement avec différents champs de la connaissance ou autres secteurs professionnels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ouverture aux résultats et outils d’autres domaines/thèmes...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développer</w:t>
            </w:r>
            <w:proofErr w:type="gramEnd"/>
            <w:r w:rsidRPr="00DB429F">
              <w:rPr>
                <w:rFonts w:cs="Segoe UI"/>
                <w:szCs w:val="22"/>
              </w:rPr>
              <w:t xml:space="preserve"> des réseaux de coopération scientifiques et professionnels à l'échelle internationale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coopération avec et/ou mobilité dans un laboratoire étranger, réunions dans un cadre national ou international...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disposer</w:t>
            </w:r>
            <w:proofErr w:type="gramEnd"/>
            <w:r w:rsidRPr="00DB429F">
              <w:rPr>
                <w:rFonts w:cs="Segoe UI"/>
                <w:szCs w:val="22"/>
              </w:rPr>
              <w:t xml:space="preserve"> de la curiosité, de l'adaptabilité et de l'ouverture nécessaire pour se former et entretenir une culture générale et internationale de haut niveau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exemple : initiative, participation aux séminaires généraux, soutenances de thèse </w:t>
            </w:r>
            <w:proofErr w:type="gramStart"/>
            <w:r w:rsidRPr="00DB429F">
              <w:rPr>
                <w:rFonts w:cs="Segoe UI"/>
                <w:color w:val="808080"/>
                <w:szCs w:val="22"/>
              </w:rPr>
              <w:t>etc...</w:t>
            </w:r>
            <w:proofErr w:type="gramEnd"/>
          </w:p>
        </w:tc>
      </w:tr>
    </w:tbl>
    <w:p w:rsidR="0056104F" w:rsidRPr="00DB429F" w:rsidRDefault="0056104F" w:rsidP="00DB429F">
      <w:pPr>
        <w:spacing w:after="0" w:line="252" w:lineRule="auto"/>
        <w:rPr>
          <w:rFonts w:cs="Segoe UI"/>
          <w:szCs w:val="22"/>
        </w:rPr>
      </w:pPr>
    </w:p>
    <w:p w:rsidR="0056104F" w:rsidRPr="00DB429F" w:rsidRDefault="0056104F" w:rsidP="00DB429F">
      <w:pPr>
        <w:spacing w:after="0" w:line="252" w:lineRule="auto"/>
        <w:rPr>
          <w:rFonts w:cs="Segoe UI"/>
          <w:b/>
          <w:szCs w:val="22"/>
        </w:rPr>
      </w:pPr>
      <w:bookmarkStart w:id="55" w:name="_Toc65052144"/>
      <w:bookmarkStart w:id="56" w:name="_Toc65083093"/>
      <w:bookmarkStart w:id="57" w:name="_Toc67865450"/>
      <w:bookmarkStart w:id="58" w:name="_Toc67865526"/>
      <w:bookmarkStart w:id="59" w:name="_Toc67954725"/>
      <w:bookmarkStart w:id="60" w:name="_Toc67954787"/>
      <w:bookmarkStart w:id="61" w:name="_Toc68623718"/>
      <w:bookmarkStart w:id="62" w:name="_Toc69151879"/>
      <w:bookmarkStart w:id="63" w:name="_Toc69152772"/>
      <w:bookmarkStart w:id="64" w:name="_Toc69152840"/>
      <w:bookmarkStart w:id="65" w:name="_Toc69152888"/>
      <w:bookmarkStart w:id="66" w:name="_Toc69301438"/>
      <w:bookmarkStart w:id="67" w:name="_Toc166765206"/>
      <w:r w:rsidRPr="00DB429F">
        <w:rPr>
          <w:rFonts w:cs="Segoe UI"/>
          <w:b/>
          <w:szCs w:val="22"/>
        </w:rPr>
        <w:t>Bloc 5 Formation et diffusion de la culture scientifique et technique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DB429F">
        <w:rPr>
          <w:rFonts w:cs="Segoe UI"/>
          <w:b/>
          <w:szCs w:val="22"/>
        </w:rPr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0"/>
        <w:gridCol w:w="4989"/>
      </w:tblGrid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Groupes de compétences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Compétences acquises</w:t>
            </w:r>
          </w:p>
        </w:tc>
      </w:tr>
      <w:tr w:rsidR="0056104F" w:rsidRPr="00DB429F" w:rsidTr="002E7939"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rendre</w:t>
            </w:r>
            <w:proofErr w:type="gramEnd"/>
            <w:r w:rsidRPr="00DB429F">
              <w:rPr>
                <w:rFonts w:cs="Segoe UI"/>
                <w:szCs w:val="22"/>
              </w:rPr>
              <w:t xml:space="preserve">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exemple : publications, présentations en différentes langues, réunions de travail </w:t>
            </w:r>
            <w:proofErr w:type="gramStart"/>
            <w:r w:rsidRPr="00DB429F">
              <w:rPr>
                <w:rFonts w:cs="Segoe UI"/>
                <w:color w:val="808080"/>
                <w:szCs w:val="22"/>
              </w:rPr>
              <w:t>etc...</w:t>
            </w:r>
            <w:proofErr w:type="gramEnd"/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enseigner</w:t>
            </w:r>
            <w:proofErr w:type="gramEnd"/>
            <w:r w:rsidRPr="00DB429F">
              <w:rPr>
                <w:rFonts w:cs="Segoe UI"/>
                <w:szCs w:val="22"/>
              </w:rPr>
              <w:t xml:space="preserve"> et former des publics diversifiés à des concepts, outils et méthodes avancés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expérience d’enseignement et de formation scientifique...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s'adapter</w:t>
            </w:r>
            <w:proofErr w:type="gramEnd"/>
            <w:r w:rsidRPr="00DB429F">
              <w:rPr>
                <w:rFonts w:cs="Segoe UI"/>
                <w:szCs w:val="22"/>
              </w:rPr>
              <w:t xml:space="preserve"> à un public varié pour communiquer et promouvoir des concepts et démarches d'avant-garde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action de médiation scientifique, science en fête, MT180…</w:t>
            </w:r>
          </w:p>
        </w:tc>
      </w:tr>
    </w:tbl>
    <w:p w:rsidR="0056104F" w:rsidRPr="00DB429F" w:rsidRDefault="0056104F" w:rsidP="00DB429F">
      <w:pPr>
        <w:pStyle w:val="Titre3"/>
        <w:spacing w:before="0" w:line="252" w:lineRule="auto"/>
        <w:rPr>
          <w:sz w:val="22"/>
          <w:szCs w:val="22"/>
        </w:rPr>
      </w:pPr>
    </w:p>
    <w:p w:rsidR="0056104F" w:rsidRPr="00DB429F" w:rsidRDefault="0056104F" w:rsidP="00DB429F">
      <w:pPr>
        <w:spacing w:after="0" w:line="252" w:lineRule="auto"/>
        <w:rPr>
          <w:rFonts w:cs="Segoe UI"/>
          <w:b/>
          <w:szCs w:val="22"/>
        </w:rPr>
      </w:pPr>
      <w:bookmarkStart w:id="68" w:name="_Toc166765207"/>
      <w:r w:rsidRPr="00DB429F">
        <w:rPr>
          <w:rFonts w:cs="Segoe UI"/>
          <w:b/>
          <w:szCs w:val="22"/>
        </w:rPr>
        <w:t>Bloc 6 Encadrement d'équipes dédiées à des activités de recherche et développement, d'études et prospective</w:t>
      </w:r>
      <w:bookmarkEnd w:id="68"/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0"/>
        <w:gridCol w:w="4989"/>
      </w:tblGrid>
      <w:tr w:rsidR="0056104F" w:rsidRPr="00DB429F" w:rsidTr="002E7939">
        <w:trPr>
          <w:trHeight w:val="28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Groupes de compétences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Compétences acquises</w:t>
            </w:r>
          </w:p>
        </w:tc>
      </w:tr>
      <w:tr w:rsidR="0056104F" w:rsidRPr="00DB429F" w:rsidTr="002E7939">
        <w:trPr>
          <w:trHeight w:val="555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animer</w:t>
            </w:r>
            <w:proofErr w:type="gramEnd"/>
            <w:r w:rsidRPr="00DB429F">
              <w:rPr>
                <w:rFonts w:cs="Segoe UI"/>
                <w:szCs w:val="22"/>
              </w:rPr>
              <w:t xml:space="preserve"> et coordonner une équipe dans le cadre de tâches complexes ou interdisciplinaires</w:t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exemple : avoir travaillé en équipe (avec d’autres doctorants, </w:t>
            </w:r>
            <w:r w:rsidR="006749B8">
              <w:rPr>
                <w:rFonts w:cs="Segoe UI"/>
                <w:color w:val="808080"/>
                <w:szCs w:val="22"/>
              </w:rPr>
              <w:t>plusieurs encadrants</w:t>
            </w:r>
            <w:r w:rsidRPr="00DB429F">
              <w:rPr>
                <w:rFonts w:cs="Segoe UI"/>
                <w:color w:val="808080"/>
                <w:szCs w:val="22"/>
              </w:rPr>
              <w:t>), autour d’une expérience complexe, prise de responsabilité, travail en groupe...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lastRenderedPageBreak/>
              <w:t>repérer</w:t>
            </w:r>
            <w:proofErr w:type="gramEnd"/>
            <w:r w:rsidRPr="00DB429F">
              <w:rPr>
                <w:rFonts w:cs="Segoe UI"/>
                <w:szCs w:val="22"/>
              </w:rPr>
              <w:t xml:space="preserve"> les compétences manquantes au sein d'une équipe et participer au recrutement ou à la sollicitation de prestataires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iCs/>
                <w:color w:val="808080"/>
                <w:szCs w:val="22"/>
              </w:rPr>
            </w:pPr>
            <w:r w:rsidRPr="00DB429F">
              <w:rPr>
                <w:rFonts w:cs="Segoe UI"/>
                <w:iCs/>
                <w:color w:val="808080"/>
                <w:szCs w:val="22"/>
              </w:rPr>
              <w:t xml:space="preserve">Par exemple : avoir collaboré avec un chercheur externe sur un point particulier où il apportait une expertise utile </w:t>
            </w:r>
            <w:proofErr w:type="gramStart"/>
            <w:r w:rsidRPr="00DB429F">
              <w:rPr>
                <w:rFonts w:cs="Segoe UI"/>
                <w:iCs/>
                <w:color w:val="808080"/>
                <w:szCs w:val="22"/>
              </w:rPr>
              <w:t>etc...</w:t>
            </w:r>
            <w:proofErr w:type="gramEnd"/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construire</w:t>
            </w:r>
            <w:proofErr w:type="gramEnd"/>
            <w:r w:rsidRPr="00DB429F">
              <w:rPr>
                <w:rFonts w:cs="Segoe UI"/>
                <w:szCs w:val="22"/>
              </w:rPr>
              <w:t xml:space="preserve"> les démarches nécessaires pour impulser l'esprit d'entrepreneuriat au sein d'une équipe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iCs/>
                <w:color w:val="808080"/>
                <w:szCs w:val="22"/>
              </w:rPr>
            </w:pPr>
            <w:r w:rsidRPr="00DB429F">
              <w:rPr>
                <w:rFonts w:cs="Segoe UI"/>
                <w:iCs/>
                <w:color w:val="808080"/>
                <w:szCs w:val="22"/>
              </w:rPr>
              <w:t>Par exemple : présenter les enjeux scientifiques du sujet, les enjeux d’application, tout ce qui peut « motiver » le projet doctoral lors d’une communication...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identifier</w:t>
            </w:r>
            <w:proofErr w:type="gramEnd"/>
            <w:r w:rsidRPr="00DB429F">
              <w:rPr>
                <w:rFonts w:cs="Segoe UI"/>
                <w:szCs w:val="22"/>
              </w:rPr>
              <w:t xml:space="preserve"> les ressources clés pour une équipe et préparer les évolutions en termes de formation et de développement personnel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>Par exemple : encadrement d’un projet d’étudiant en laboratoire, ou d’un stagiaire...</w:t>
            </w:r>
          </w:p>
        </w:tc>
      </w:tr>
      <w:tr w:rsidR="0056104F" w:rsidRPr="00DB429F" w:rsidTr="002E7939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szCs w:val="22"/>
              </w:rPr>
            </w:pPr>
            <w:proofErr w:type="gramStart"/>
            <w:r w:rsidRPr="00DB429F">
              <w:rPr>
                <w:rFonts w:cs="Segoe UI"/>
                <w:szCs w:val="22"/>
              </w:rPr>
              <w:t>évaluer</w:t>
            </w:r>
            <w:proofErr w:type="gramEnd"/>
            <w:r w:rsidRPr="00DB429F">
              <w:rPr>
                <w:rFonts w:cs="Segoe UI"/>
                <w:szCs w:val="22"/>
              </w:rPr>
              <w:t xml:space="preserve"> le travail des personnes et de l'équipe vis à vis des projets et objectifs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iCs/>
                <w:color w:val="808080"/>
                <w:szCs w:val="22"/>
              </w:rPr>
            </w:pPr>
            <w:r w:rsidRPr="00DB429F">
              <w:rPr>
                <w:rFonts w:cs="Segoe UI"/>
                <w:iCs/>
                <w:color w:val="808080"/>
                <w:szCs w:val="22"/>
              </w:rPr>
              <w:t>Par exemple : avoir vécu soi-même un CSI (en tant qu’entretien professionnel), savoir donner des feedbacks, être utile à d’autres projets, contribuer...</w:t>
            </w:r>
          </w:p>
        </w:tc>
      </w:tr>
    </w:tbl>
    <w:p w:rsidR="0056104F" w:rsidRPr="00DB429F" w:rsidRDefault="0056104F" w:rsidP="00DB429F">
      <w:pPr>
        <w:spacing w:after="0" w:line="252" w:lineRule="auto"/>
        <w:rPr>
          <w:rFonts w:cs="Segoe UI"/>
          <w:b/>
          <w:color w:val="63003C"/>
          <w:szCs w:val="22"/>
        </w:rPr>
      </w:pPr>
    </w:p>
    <w:p w:rsidR="0056104F" w:rsidRPr="00DB429F" w:rsidRDefault="0056104F" w:rsidP="00DB429F">
      <w:pPr>
        <w:spacing w:after="0" w:line="252" w:lineRule="auto"/>
        <w:rPr>
          <w:rFonts w:cs="Segoe UI"/>
          <w:b/>
          <w:szCs w:val="22"/>
        </w:rPr>
      </w:pPr>
      <w:bookmarkStart w:id="69" w:name="_Toc166765208"/>
      <w:r w:rsidRPr="00DB429F">
        <w:rPr>
          <w:rFonts w:cs="Segoe UI"/>
          <w:b/>
          <w:szCs w:val="22"/>
        </w:rPr>
        <w:t xml:space="preserve">Bloc </w:t>
      </w:r>
      <w:r w:rsidR="00A416FF" w:rsidRPr="00DB429F">
        <w:rPr>
          <w:rFonts w:cs="Segoe UI"/>
          <w:b/>
          <w:szCs w:val="22"/>
        </w:rPr>
        <w:t xml:space="preserve">de </w:t>
      </w:r>
      <w:r w:rsidRPr="00DB429F">
        <w:rPr>
          <w:rFonts w:cs="Segoe UI"/>
          <w:b/>
          <w:szCs w:val="22"/>
        </w:rPr>
        <w:t xml:space="preserve">compétences </w:t>
      </w:r>
      <w:r w:rsidR="00DB429F">
        <w:rPr>
          <w:rFonts w:cs="Segoe UI"/>
          <w:b/>
          <w:szCs w:val="22"/>
        </w:rPr>
        <w:t>« </w:t>
      </w:r>
      <w:r w:rsidRPr="00DB429F">
        <w:rPr>
          <w:rFonts w:cs="Segoe UI"/>
          <w:b/>
          <w:iCs/>
          <w:szCs w:val="22"/>
        </w:rPr>
        <w:t xml:space="preserve">soft </w:t>
      </w:r>
      <w:proofErr w:type="spellStart"/>
      <w:r w:rsidRPr="00DB429F">
        <w:rPr>
          <w:rFonts w:cs="Segoe UI"/>
          <w:b/>
          <w:iCs/>
          <w:szCs w:val="22"/>
        </w:rPr>
        <w:t>skills</w:t>
      </w:r>
      <w:bookmarkEnd w:id="69"/>
      <w:proofErr w:type="spellEnd"/>
      <w:r w:rsidR="00DB429F">
        <w:rPr>
          <w:rFonts w:cs="Segoe UI"/>
          <w:b/>
          <w:szCs w:val="22"/>
        </w:rPr>
        <w:t> »</w:t>
      </w:r>
    </w:p>
    <w:p w:rsidR="0056104F" w:rsidRPr="00DB429F" w:rsidRDefault="0056104F" w:rsidP="00DB429F">
      <w:pPr>
        <w:spacing w:after="0" w:line="252" w:lineRule="auto"/>
        <w:rPr>
          <w:rFonts w:cs="Segoe UI"/>
          <w:szCs w:val="22"/>
        </w:rPr>
      </w:pPr>
      <w:r w:rsidRPr="00DB429F">
        <w:rPr>
          <w:rFonts w:cs="Segoe UI"/>
          <w:szCs w:val="22"/>
        </w:rPr>
        <w:t xml:space="preserve">En complément des blocs de compétences </w:t>
      </w:r>
      <w:r w:rsidR="00A416FF" w:rsidRPr="00DB429F">
        <w:rPr>
          <w:rFonts w:cs="Segoe UI"/>
          <w:szCs w:val="22"/>
        </w:rPr>
        <w:t>de la fiche RNCP</w:t>
      </w:r>
      <w:r w:rsidRPr="00DB429F">
        <w:rPr>
          <w:rFonts w:cs="Segoe UI"/>
          <w:szCs w:val="22"/>
        </w:rPr>
        <w:t xml:space="preserve">, il est intéressant </w:t>
      </w:r>
      <w:r w:rsidR="00A416FF" w:rsidRPr="00DB429F">
        <w:rPr>
          <w:rFonts w:cs="Segoe UI"/>
          <w:szCs w:val="22"/>
        </w:rPr>
        <w:t>d’identifier aussi les</w:t>
      </w:r>
      <w:r w:rsidRPr="00DB429F">
        <w:rPr>
          <w:rFonts w:cs="Segoe UI"/>
          <w:szCs w:val="22"/>
        </w:rPr>
        <w:t xml:space="preserve"> compétences regroupées sous le terme </w:t>
      </w:r>
      <w:r w:rsidR="00DB429F">
        <w:rPr>
          <w:rFonts w:cs="Segoe UI"/>
          <w:szCs w:val="22"/>
        </w:rPr>
        <w:t>de « </w:t>
      </w:r>
      <w:r w:rsidRPr="00DB429F">
        <w:rPr>
          <w:rFonts w:cs="Segoe UI"/>
          <w:iCs/>
          <w:szCs w:val="22"/>
        </w:rPr>
        <w:t xml:space="preserve">soft </w:t>
      </w:r>
      <w:proofErr w:type="spellStart"/>
      <w:r w:rsidRPr="00DB429F">
        <w:rPr>
          <w:rFonts w:cs="Segoe UI"/>
          <w:iCs/>
          <w:szCs w:val="22"/>
        </w:rPr>
        <w:t>skills</w:t>
      </w:r>
      <w:proofErr w:type="spellEnd"/>
      <w:r w:rsidR="00DB429F">
        <w:rPr>
          <w:rFonts w:cs="Segoe UI"/>
          <w:iCs/>
          <w:szCs w:val="22"/>
        </w:rPr>
        <w:t> »</w:t>
      </w:r>
      <w:r w:rsidRPr="00DB429F">
        <w:rPr>
          <w:rFonts w:cs="Segoe UI"/>
          <w:szCs w:val="22"/>
          <w:vertAlign w:val="superscript"/>
        </w:rPr>
        <w:t>3</w:t>
      </w:r>
      <w:r w:rsidRPr="00DB429F">
        <w:rPr>
          <w:rFonts w:cs="Segoe UI"/>
          <w:iCs/>
          <w:szCs w:val="22"/>
        </w:rPr>
        <w:t xml:space="preserve"> </w:t>
      </w:r>
      <w:r w:rsidRPr="00DB429F">
        <w:rPr>
          <w:rFonts w:cs="Segoe UI"/>
          <w:szCs w:val="22"/>
        </w:rPr>
        <w:t xml:space="preserve">qui sont reconnues comme essentielles </w:t>
      </w:r>
      <w:r w:rsidR="00A416FF" w:rsidRPr="00DB429F">
        <w:rPr>
          <w:rFonts w:cs="Segoe UI"/>
          <w:szCs w:val="22"/>
        </w:rPr>
        <w:t>dans la vie professionnelle</w:t>
      </w:r>
      <w:r w:rsidRPr="00DB429F">
        <w:rPr>
          <w:rFonts w:cs="Segoe UI"/>
          <w:szCs w:val="22"/>
        </w:rPr>
        <w:t>, en particulier dans un contexte d’innovation.</w:t>
      </w:r>
      <w:r w:rsidR="00A416FF" w:rsidRPr="00DB429F">
        <w:rPr>
          <w:rFonts w:cs="Segoe UI"/>
          <w:szCs w:val="22"/>
        </w:rPr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17"/>
        <w:gridCol w:w="6822"/>
      </w:tblGrid>
      <w:tr w:rsidR="0056104F" w:rsidRPr="00DB429F" w:rsidTr="002E7939">
        <w:trPr>
          <w:trHeight w:val="37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Groupes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b/>
                <w:bCs/>
                <w:color w:val="000000"/>
                <w:szCs w:val="22"/>
              </w:rPr>
            </w:pPr>
            <w:r w:rsidRPr="00DB429F">
              <w:rPr>
                <w:rFonts w:cs="Segoe UI"/>
                <w:b/>
                <w:bCs/>
                <w:color w:val="000000"/>
                <w:szCs w:val="22"/>
              </w:rPr>
              <w:t>Compétences acquises</w:t>
            </w:r>
          </w:p>
        </w:tc>
      </w:tr>
      <w:tr w:rsidR="0056104F" w:rsidRPr="00DB429F" w:rsidTr="002E7939">
        <w:trPr>
          <w:trHeight w:val="555"/>
        </w:trPr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jc w:val="left"/>
              <w:rPr>
                <w:rFonts w:cs="Segoe UI"/>
                <w:szCs w:val="22"/>
              </w:rPr>
            </w:pPr>
            <w:r w:rsidRPr="00DB429F">
              <w:rPr>
                <w:rFonts w:cs="Segoe UI"/>
                <w:szCs w:val="22"/>
              </w:rPr>
              <w:t>Compétences cognitives (capacité à traiter l’information)</w:t>
            </w:r>
          </w:p>
        </w:tc>
        <w:tc>
          <w:tcPr>
            <w:tcW w:w="6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exemple : </w:t>
            </w:r>
            <w:r w:rsidR="00DB429F">
              <w:rPr>
                <w:rFonts w:cs="Segoe UI"/>
                <w:color w:val="808080"/>
                <w:szCs w:val="22"/>
              </w:rPr>
              <w:t xml:space="preserve">être </w:t>
            </w:r>
            <w:r w:rsidRPr="00DB429F">
              <w:rPr>
                <w:rFonts w:cs="Segoe UI"/>
                <w:color w:val="808080"/>
                <w:szCs w:val="22"/>
              </w:rPr>
              <w:t xml:space="preserve">force de proposition, idées originales, vue holistique, </w:t>
            </w:r>
            <w:r w:rsidR="00DB429F">
              <w:rPr>
                <w:rFonts w:cs="Segoe UI"/>
                <w:color w:val="808080"/>
                <w:szCs w:val="22"/>
              </w:rPr>
              <w:t xml:space="preserve">savoir réviser </w:t>
            </w:r>
            <w:r w:rsidRPr="00DB429F">
              <w:rPr>
                <w:rFonts w:cs="Segoe UI"/>
                <w:color w:val="808080"/>
                <w:szCs w:val="22"/>
              </w:rPr>
              <w:t xml:space="preserve">son opinion, </w:t>
            </w:r>
            <w:r w:rsidR="00DB429F">
              <w:rPr>
                <w:rFonts w:cs="Segoe UI"/>
                <w:color w:val="808080"/>
                <w:szCs w:val="22"/>
              </w:rPr>
              <w:t xml:space="preserve">réagir </w:t>
            </w:r>
            <w:r w:rsidRPr="00DB429F">
              <w:rPr>
                <w:rFonts w:cs="Segoe UI"/>
                <w:color w:val="808080"/>
                <w:szCs w:val="22"/>
              </w:rPr>
              <w:t xml:space="preserve">aux résultats négatifs ou aux impasses, résolution de problème, déduction </w:t>
            </w:r>
            <w:proofErr w:type="gramStart"/>
            <w:r w:rsidRPr="00DB429F">
              <w:rPr>
                <w:rFonts w:cs="Segoe UI"/>
                <w:color w:val="808080"/>
                <w:szCs w:val="22"/>
              </w:rPr>
              <w:t>etc...</w:t>
            </w:r>
            <w:proofErr w:type="gramEnd"/>
          </w:p>
        </w:tc>
      </w:tr>
      <w:tr w:rsidR="0056104F" w:rsidRPr="00DB429F" w:rsidTr="002E7939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jc w:val="left"/>
              <w:rPr>
                <w:rFonts w:cs="Segoe UI"/>
                <w:szCs w:val="22"/>
              </w:rPr>
            </w:pPr>
            <w:r w:rsidRPr="00DB429F">
              <w:rPr>
                <w:rFonts w:cs="Segoe UI"/>
                <w:szCs w:val="22"/>
              </w:rPr>
              <w:t>Compétences conatives (capacité à agir)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iCs/>
                <w:color w:val="808080"/>
                <w:szCs w:val="22"/>
              </w:rPr>
            </w:pPr>
            <w:r w:rsidRPr="00DB429F">
              <w:rPr>
                <w:rFonts w:cs="Segoe UI"/>
                <w:iCs/>
                <w:color w:val="808080"/>
                <w:szCs w:val="22"/>
              </w:rPr>
              <w:t xml:space="preserve">Par exemple : confiance en soi, développer des relations ou un réseau, organiser des rencontres/évènements, recherche de nouvelles idées, prises </w:t>
            </w:r>
            <w:r w:rsidR="00B840E8">
              <w:rPr>
                <w:rFonts w:cs="Segoe UI"/>
                <w:iCs/>
                <w:color w:val="808080"/>
                <w:szCs w:val="22"/>
              </w:rPr>
              <w:t>d’initiatives</w:t>
            </w:r>
            <w:r w:rsidRPr="00DB429F">
              <w:rPr>
                <w:rFonts w:cs="Segoe UI"/>
                <w:iCs/>
                <w:color w:val="808080"/>
                <w:szCs w:val="22"/>
              </w:rPr>
              <w:t>, gérer l’ambiguïté, les situations complexes ou contradictoires, coopération harmonieuse et bienveillante, persévérance...</w:t>
            </w:r>
          </w:p>
        </w:tc>
      </w:tr>
      <w:tr w:rsidR="0056104F" w:rsidRPr="00DB429F" w:rsidTr="002E7939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jc w:val="left"/>
              <w:rPr>
                <w:rFonts w:cs="Segoe UI"/>
                <w:szCs w:val="22"/>
              </w:rPr>
            </w:pPr>
            <w:r w:rsidRPr="00DB429F">
              <w:rPr>
                <w:rFonts w:cs="Segoe UI"/>
                <w:szCs w:val="22"/>
              </w:rPr>
              <w:t>Compétences émotionnelles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iCs/>
                <w:color w:val="808080"/>
                <w:szCs w:val="22"/>
              </w:rPr>
            </w:pPr>
            <w:r w:rsidRPr="00DB429F">
              <w:rPr>
                <w:rFonts w:cs="Segoe UI"/>
                <w:iCs/>
                <w:color w:val="808080"/>
                <w:szCs w:val="22"/>
              </w:rPr>
              <w:t xml:space="preserve">Par exemple : reconnaître et comprendre les points de vue des autres personnes, gérer ses frustrations et celles des autres, partager son enthousiasme, </w:t>
            </w:r>
            <w:r w:rsidR="00DB429F">
              <w:rPr>
                <w:rFonts w:cs="Segoe UI"/>
                <w:iCs/>
                <w:color w:val="808080"/>
                <w:szCs w:val="22"/>
              </w:rPr>
              <w:t>savoir faire des retours constructifs</w:t>
            </w:r>
            <w:r w:rsidRPr="00DB429F">
              <w:rPr>
                <w:rFonts w:cs="Segoe UI"/>
                <w:iCs/>
                <w:color w:val="808080"/>
                <w:szCs w:val="22"/>
              </w:rPr>
              <w:t>, ouverture à différentes langues/cultures/manière de penser...</w:t>
            </w:r>
          </w:p>
        </w:tc>
      </w:tr>
      <w:tr w:rsidR="0056104F" w:rsidRPr="00DB429F" w:rsidTr="002E7939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jc w:val="left"/>
              <w:rPr>
                <w:rFonts w:cs="Segoe UI"/>
                <w:szCs w:val="22"/>
              </w:rPr>
            </w:pPr>
            <w:r w:rsidRPr="00DB429F">
              <w:rPr>
                <w:rFonts w:cs="Segoe UI"/>
                <w:szCs w:val="22"/>
              </w:rPr>
              <w:t>Compétences de l’environnement de travail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color w:val="808080"/>
                <w:szCs w:val="22"/>
              </w:rPr>
            </w:pPr>
            <w:r w:rsidRPr="00DB429F">
              <w:rPr>
                <w:rFonts w:cs="Segoe UI"/>
                <w:color w:val="808080"/>
                <w:szCs w:val="22"/>
              </w:rPr>
              <w:t xml:space="preserve">Par exemple : définition et compréhension des objectifs personnels, de groupe, de l’unité etc.., collaboration efficace, cohésion, autonomie et prises de décision tenant compte des autres, comprendre l’environnement de travail, savoir </w:t>
            </w:r>
            <w:r w:rsidR="002C787C">
              <w:rPr>
                <w:rFonts w:cs="Segoe UI"/>
                <w:color w:val="808080"/>
                <w:szCs w:val="22"/>
              </w:rPr>
              <w:t>gérer un projet complexe</w:t>
            </w:r>
            <w:r w:rsidRPr="00DB429F">
              <w:rPr>
                <w:rFonts w:cs="Segoe UI"/>
                <w:color w:val="808080"/>
                <w:szCs w:val="22"/>
              </w:rPr>
              <w:t>, savoir déléguer...</w:t>
            </w:r>
          </w:p>
        </w:tc>
      </w:tr>
      <w:tr w:rsidR="0056104F" w:rsidRPr="00DB429F" w:rsidTr="002E7939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jc w:val="left"/>
              <w:rPr>
                <w:rFonts w:cs="Segoe UI"/>
                <w:szCs w:val="22"/>
              </w:rPr>
            </w:pPr>
            <w:r w:rsidRPr="00DB429F">
              <w:rPr>
                <w:rFonts w:cs="Segoe UI"/>
                <w:szCs w:val="22"/>
              </w:rPr>
              <w:t>Compétences relationnelles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4F" w:rsidRPr="00DB429F" w:rsidRDefault="0056104F" w:rsidP="00DB429F">
            <w:pPr>
              <w:spacing w:after="0" w:line="252" w:lineRule="auto"/>
              <w:rPr>
                <w:rFonts w:cs="Segoe UI"/>
                <w:iCs/>
                <w:color w:val="808080"/>
                <w:szCs w:val="22"/>
              </w:rPr>
            </w:pPr>
            <w:r w:rsidRPr="00DB429F">
              <w:rPr>
                <w:rFonts w:cs="Segoe UI"/>
                <w:iCs/>
                <w:color w:val="808080"/>
                <w:szCs w:val="22"/>
              </w:rPr>
              <w:t xml:space="preserve">Par exemple : communication écrite et orale, expression, comprendre et être compris, persuader, savoir donner/utiliser des feedbacks, rendre une collaboration efficace par la coordination, la création de liens, le leadership, savoir encadrer quelqu’un </w:t>
            </w:r>
            <w:proofErr w:type="gramStart"/>
            <w:r w:rsidRPr="00DB429F">
              <w:rPr>
                <w:rFonts w:cs="Segoe UI"/>
                <w:iCs/>
                <w:color w:val="808080"/>
                <w:szCs w:val="22"/>
              </w:rPr>
              <w:t>etc...</w:t>
            </w:r>
            <w:proofErr w:type="gramEnd"/>
          </w:p>
        </w:tc>
      </w:tr>
    </w:tbl>
    <w:p w:rsidR="0056104F" w:rsidRPr="00417001" w:rsidRDefault="0056104F" w:rsidP="0056104F">
      <w:pPr>
        <w:rPr>
          <w:rFonts w:cs="Segoe UI"/>
          <w:sz w:val="28"/>
          <w:szCs w:val="22"/>
        </w:rPr>
      </w:pPr>
      <w:r w:rsidRPr="00417001">
        <w:rPr>
          <w:rFonts w:cs="Segoe UI"/>
          <w:i/>
          <w:color w:val="63003C"/>
          <w:sz w:val="20"/>
          <w:vertAlign w:val="superscript"/>
        </w:rPr>
        <w:t>3</w:t>
      </w:r>
      <w:r w:rsidRPr="00417001">
        <w:rPr>
          <w:rFonts w:cs="Segoe UI"/>
          <w:i/>
          <w:color w:val="63003C"/>
          <w:sz w:val="20"/>
        </w:rPr>
        <w:t>https://www.strategie.gouv.fr/publications/soft-skills-innover-transformer-organisations</w:t>
      </w:r>
    </w:p>
    <w:sectPr w:rsidR="0056104F" w:rsidRPr="00417001" w:rsidSect="0004100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134" w:bottom="170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E9A" w:rsidRDefault="00A82E9A" w:rsidP="0056104F">
      <w:pPr>
        <w:spacing w:after="0" w:line="240" w:lineRule="auto"/>
      </w:pPr>
      <w:r>
        <w:separator/>
      </w:r>
    </w:p>
  </w:endnote>
  <w:endnote w:type="continuationSeparator" w:id="0">
    <w:p w:rsidR="00A82E9A" w:rsidRDefault="00A82E9A" w:rsidP="0056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Pr="0056104F" w:rsidRDefault="00D454C9">
    <w:pPr>
      <w:pStyle w:val="Pieddepage"/>
      <w:rPr>
        <w:rStyle w:val="Accentuationlgre"/>
        <w:i w:val="0"/>
        <w:color w:val="63003C"/>
        <w:sz w:val="18"/>
      </w:rPr>
    </w:pPr>
    <w:r w:rsidRPr="0056104F">
      <w:rPr>
        <w:noProof/>
        <w:color w:val="63003C"/>
        <w:sz w:val="18"/>
      </w:rPr>
      <w:drawing>
        <wp:anchor distT="0" distB="0" distL="114300" distR="0" simplePos="0" relativeHeight="251657216" behindDoc="1" locked="0" layoutInCell="0" allowOverlap="1" wp14:anchorId="4FCE3202" wp14:editId="34615DC1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5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104F">
      <w:rPr>
        <w:rStyle w:val="Accentuationlgre"/>
        <w:i w:val="0"/>
        <w:color w:val="63003C"/>
        <w:sz w:val="18"/>
      </w:rPr>
      <w:t>Université Paris-Saclay</w:t>
    </w:r>
  </w:p>
  <w:p w:rsidR="00D454C9" w:rsidRPr="0056104F" w:rsidRDefault="00D454C9">
    <w:pPr>
      <w:pStyle w:val="Pieddepage"/>
      <w:rPr>
        <w:color w:val="63003C"/>
        <w:sz w:val="18"/>
      </w:rPr>
    </w:pPr>
    <w:r w:rsidRPr="0056104F">
      <w:rPr>
        <w:rStyle w:val="Accentuationlgre"/>
        <w:i w:val="0"/>
        <w:color w:val="63003C"/>
        <w:sz w:val="18"/>
      </w:rPr>
      <w:t>91190 Gif sur Yvette, France</w:t>
    </w:r>
    <w:r w:rsidRPr="0056104F">
      <w:rPr>
        <w:color w:val="63003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E9A" w:rsidRDefault="00A82E9A" w:rsidP="0056104F">
      <w:pPr>
        <w:spacing w:after="0" w:line="240" w:lineRule="auto"/>
      </w:pPr>
      <w:r>
        <w:separator/>
      </w:r>
    </w:p>
  </w:footnote>
  <w:footnote w:type="continuationSeparator" w:id="0">
    <w:p w:rsidR="00A82E9A" w:rsidRDefault="00A82E9A" w:rsidP="0056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>
    <w:pPr>
      <w:pStyle w:val="En-tte"/>
    </w:pPr>
    <w:r>
      <w:rPr>
        <w:noProof/>
      </w:rPr>
      <w:drawing>
        <wp:anchor distT="0" distB="0" distL="114300" distR="0" simplePos="0" relativeHeight="251658240" behindDoc="1" locked="0" layoutInCell="0" allowOverlap="1" wp14:anchorId="07664CF3" wp14:editId="7AA2BA33">
          <wp:simplePos x="0" y="0"/>
          <wp:positionH relativeFrom="margin">
            <wp:posOffset>4428490</wp:posOffset>
          </wp:positionH>
          <wp:positionV relativeFrom="paragraph">
            <wp:posOffset>-314960</wp:posOffset>
          </wp:positionV>
          <wp:extent cx="1805940" cy="762000"/>
          <wp:effectExtent l="0" t="0" r="0" b="0"/>
          <wp:wrapSquare wrapText="bothSides"/>
          <wp:docPr id="3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35E"/>
    <w:multiLevelType w:val="hybridMultilevel"/>
    <w:tmpl w:val="772411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CBB"/>
    <w:multiLevelType w:val="multilevel"/>
    <w:tmpl w:val="8A4601A0"/>
    <w:lvl w:ilvl="0"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9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"/>
        </w:tabs>
        <w:ind w:left="17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4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1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38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45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53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02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077A81"/>
    <w:multiLevelType w:val="hybridMultilevel"/>
    <w:tmpl w:val="E4BE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C0B54"/>
    <w:multiLevelType w:val="hybridMultilevel"/>
    <w:tmpl w:val="A074F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779B5"/>
    <w:multiLevelType w:val="multilevel"/>
    <w:tmpl w:val="C83AE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F72732D"/>
    <w:multiLevelType w:val="hybridMultilevel"/>
    <w:tmpl w:val="BC301B5E"/>
    <w:lvl w:ilvl="0" w:tplc="6A781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EE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AA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C1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2D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4A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A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4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C7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0F6743"/>
    <w:multiLevelType w:val="hybridMultilevel"/>
    <w:tmpl w:val="A8AA2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7"/>
    <w:multiLevelType w:val="hybridMultilevel"/>
    <w:tmpl w:val="DFC05542"/>
    <w:lvl w:ilvl="0" w:tplc="22021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86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8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B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4A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08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00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A1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E20558"/>
    <w:multiLevelType w:val="hybridMultilevel"/>
    <w:tmpl w:val="85186B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1584C"/>
    <w:multiLevelType w:val="hybridMultilevel"/>
    <w:tmpl w:val="BE0ED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4F"/>
    <w:rsid w:val="00041000"/>
    <w:rsid w:val="00172BB7"/>
    <w:rsid w:val="0018045A"/>
    <w:rsid w:val="001F22FC"/>
    <w:rsid w:val="002A108A"/>
    <w:rsid w:val="002B52FF"/>
    <w:rsid w:val="002C787C"/>
    <w:rsid w:val="002E657B"/>
    <w:rsid w:val="002E7939"/>
    <w:rsid w:val="0030391A"/>
    <w:rsid w:val="003774BD"/>
    <w:rsid w:val="003D6236"/>
    <w:rsid w:val="0042421B"/>
    <w:rsid w:val="00476C1B"/>
    <w:rsid w:val="004B55F2"/>
    <w:rsid w:val="004E3D30"/>
    <w:rsid w:val="004F4208"/>
    <w:rsid w:val="0051762E"/>
    <w:rsid w:val="00542FC5"/>
    <w:rsid w:val="0056104F"/>
    <w:rsid w:val="005D18A4"/>
    <w:rsid w:val="00624352"/>
    <w:rsid w:val="0067196B"/>
    <w:rsid w:val="006749B8"/>
    <w:rsid w:val="006B32F3"/>
    <w:rsid w:val="00744C7A"/>
    <w:rsid w:val="007E3D58"/>
    <w:rsid w:val="00842800"/>
    <w:rsid w:val="009B1243"/>
    <w:rsid w:val="00A416FF"/>
    <w:rsid w:val="00A67590"/>
    <w:rsid w:val="00A82E9A"/>
    <w:rsid w:val="00A86570"/>
    <w:rsid w:val="00AA209D"/>
    <w:rsid w:val="00B415E7"/>
    <w:rsid w:val="00B5715E"/>
    <w:rsid w:val="00B840E8"/>
    <w:rsid w:val="00BF5A13"/>
    <w:rsid w:val="00BF67AD"/>
    <w:rsid w:val="00CC759A"/>
    <w:rsid w:val="00CE2B23"/>
    <w:rsid w:val="00D115C9"/>
    <w:rsid w:val="00D454C9"/>
    <w:rsid w:val="00D4586E"/>
    <w:rsid w:val="00D54F5A"/>
    <w:rsid w:val="00DB429F"/>
    <w:rsid w:val="00DB4E05"/>
    <w:rsid w:val="00E070FE"/>
    <w:rsid w:val="00E93DD7"/>
    <w:rsid w:val="00F1475D"/>
    <w:rsid w:val="00F16E43"/>
    <w:rsid w:val="00F260A7"/>
    <w:rsid w:val="00F41EFE"/>
    <w:rsid w:val="00F70AF1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A030B3-D687-4D10-8B55-BAEA08F7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">
    <w:name w:val="Normal"/>
    <w:qFormat/>
    <w:rsid w:val="0056104F"/>
    <w:pPr>
      <w:suppressAutoHyphens/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Titre3"/>
    <w:next w:val="Normal"/>
    <w:link w:val="Titre1Car"/>
    <w:uiPriority w:val="9"/>
    <w:qFormat/>
    <w:rsid w:val="001F22FC"/>
    <w:pPr>
      <w:spacing w:before="200" w:after="200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104F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104F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22FC"/>
    <w:rPr>
      <w:rFonts w:ascii="Segoe UI" w:eastAsiaTheme="majorEastAsia" w:hAnsi="Segoe UI" w:cs="Segoe UI"/>
      <w:b/>
      <w:color w:val="63003C"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qFormat/>
    <w:rsid w:val="0056104F"/>
    <w:rPr>
      <w:rFonts w:ascii="Segoe UI" w:eastAsiaTheme="minorEastAsia" w:hAnsi="Segoe UI" w:cs="Segoe UI"/>
      <w:b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qFormat/>
    <w:rsid w:val="0056104F"/>
    <w:rPr>
      <w:rFonts w:ascii="Segoe UI" w:eastAsiaTheme="majorEastAsia" w:hAnsi="Segoe UI" w:cs="Segoe UI"/>
      <w:b/>
      <w:color w:val="63003C"/>
      <w:sz w:val="24"/>
      <w:szCs w:val="24"/>
    </w:rPr>
  </w:style>
  <w:style w:type="character" w:styleId="Accentuation">
    <w:name w:val="Emphasis"/>
    <w:uiPriority w:val="20"/>
    <w:qFormat/>
    <w:rsid w:val="0056104F"/>
    <w:rPr>
      <w:b/>
      <w:bCs/>
      <w:iCs/>
      <w:spacing w:val="1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56104F"/>
    <w:rPr>
      <w:rFonts w:ascii="Segoe UI" w:eastAsiaTheme="minorEastAsia" w:hAnsi="Segoe UI" w:cs="Open Sans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sid w:val="0056104F"/>
    <w:rPr>
      <w:rFonts w:ascii="Segoe UI" w:eastAsiaTheme="minorEastAsia" w:hAnsi="Segoe UI" w:cs="Open Sans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6104F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56104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56104F"/>
    <w:rPr>
      <w:rFonts w:eastAsiaTheme="minorEastAsia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qFormat/>
    <w:rsid w:val="0056104F"/>
    <w:rPr>
      <w:rFonts w:ascii="Times New Roman" w:eastAsia="Times New Roman" w:hAnsi="Times New Roman" w:cs="Arial"/>
      <w:sz w:val="20"/>
      <w:szCs w:val="20"/>
      <w:lang w:eastAsia="fr-FR"/>
    </w:rPr>
  </w:style>
  <w:style w:type="character" w:customStyle="1" w:styleId="Caractresdenotedebasdepage">
    <w:name w:val="Caractères de note de bas de page"/>
    <w:semiHidden/>
    <w:unhideWhenUsed/>
    <w:qFormat/>
    <w:rsid w:val="0056104F"/>
    <w:rPr>
      <w:vertAlign w:val="superscript"/>
    </w:rPr>
  </w:style>
  <w:style w:type="character" w:styleId="Appelnotedebasdep">
    <w:name w:val="footnote reference"/>
    <w:rsid w:val="0056104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610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6104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qFormat/>
    <w:rsid w:val="0056104F"/>
    <w:rPr>
      <w:color w:val="808080"/>
    </w:rPr>
  </w:style>
  <w:style w:type="character" w:customStyle="1" w:styleId="Caractresdenotedefin">
    <w:name w:val="Caractères de note de fin"/>
    <w:qFormat/>
    <w:rsid w:val="0056104F"/>
    <w:rPr>
      <w:vertAlign w:val="superscript"/>
    </w:rPr>
  </w:style>
  <w:style w:type="character" w:styleId="Appeldenotedefin">
    <w:name w:val="endnote reference"/>
    <w:rsid w:val="0056104F"/>
    <w:rPr>
      <w:vertAlign w:val="superscript"/>
    </w:rPr>
  </w:style>
  <w:style w:type="paragraph" w:styleId="Titre">
    <w:name w:val="Title"/>
    <w:basedOn w:val="Normal"/>
    <w:next w:val="Corpsdetexte"/>
    <w:link w:val="TitreCar"/>
    <w:qFormat/>
    <w:rsid w:val="0056104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character" w:customStyle="1" w:styleId="TitreCar">
    <w:name w:val="Titre Car"/>
    <w:basedOn w:val="Policepardfaut"/>
    <w:link w:val="Titre"/>
    <w:rsid w:val="0056104F"/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6104F"/>
    <w:pPr>
      <w:spacing w:after="120"/>
    </w:pPr>
  </w:style>
  <w:style w:type="character" w:customStyle="1" w:styleId="CorpsdetexteCar1">
    <w:name w:val="Corps de text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Liste">
    <w:name w:val="List"/>
    <w:basedOn w:val="Corpsdetexte"/>
    <w:rsid w:val="0056104F"/>
    <w:rPr>
      <w:rFonts w:cs="Arial Unicode MS"/>
    </w:rPr>
  </w:style>
  <w:style w:type="paragraph" w:styleId="Lgende">
    <w:name w:val="caption"/>
    <w:basedOn w:val="Normal"/>
    <w:qFormat/>
    <w:rsid w:val="0056104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56104F"/>
    <w:pPr>
      <w:suppressLineNumbers/>
    </w:pPr>
    <w:rPr>
      <w:rFonts w:cs="Arial Unicode MS"/>
    </w:rPr>
  </w:style>
  <w:style w:type="paragraph" w:styleId="Paragraphedeliste">
    <w:name w:val="List Paragraph"/>
    <w:basedOn w:val="Corpsdetexte"/>
    <w:uiPriority w:val="34"/>
    <w:qFormat/>
    <w:rsid w:val="0056104F"/>
    <w:pPr>
      <w:spacing w:after="100"/>
    </w:pPr>
  </w:style>
  <w:style w:type="paragraph" w:customStyle="1" w:styleId="En-tteetpieddepage">
    <w:name w:val="En-tête et pied de page"/>
    <w:basedOn w:val="Normal"/>
    <w:qFormat/>
    <w:rsid w:val="0056104F"/>
  </w:style>
  <w:style w:type="paragraph" w:styleId="En-tte">
    <w:name w:val="header"/>
    <w:basedOn w:val="Normal"/>
    <w:link w:val="En-tteCar"/>
    <w:uiPriority w:val="99"/>
    <w:unhideWhenUsed/>
    <w:rsid w:val="0056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56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Sansinterligne">
    <w:name w:val="No Spacing"/>
    <w:link w:val="SansinterligneCar"/>
    <w:uiPriority w:val="1"/>
    <w:qFormat/>
    <w:rsid w:val="0056104F"/>
    <w:pPr>
      <w:suppressAutoHyphens/>
      <w:spacing w:after="0" w:line="240" w:lineRule="auto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56104F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1">
    <w:name w:val="Note de bas de page Car1"/>
    <w:basedOn w:val="Policepardfaut"/>
    <w:uiPriority w:val="99"/>
    <w:semiHidden/>
    <w:rsid w:val="0056104F"/>
    <w:rPr>
      <w:rFonts w:ascii="Segoe UI" w:eastAsiaTheme="minorEastAsia" w:hAnsi="Segoe UI" w:cs="Open Sans"/>
      <w:sz w:val="20"/>
      <w:szCs w:val="20"/>
    </w:rPr>
  </w:style>
  <w:style w:type="paragraph" w:customStyle="1" w:styleId="Contenudecadre">
    <w:name w:val="Contenu de cadre"/>
    <w:basedOn w:val="Normal"/>
    <w:qFormat/>
    <w:rsid w:val="0056104F"/>
  </w:style>
  <w:style w:type="paragraph" w:customStyle="1" w:styleId="Contenudetableau">
    <w:name w:val="Contenu de tableau"/>
    <w:basedOn w:val="Normal"/>
    <w:qFormat/>
    <w:rsid w:val="0056104F"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rsid w:val="0056104F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6104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6104F"/>
    <w:rPr>
      <w:color w:val="954F72" w:themeColor="followedHyperlink"/>
      <w:u w:val="single"/>
    </w:rPr>
  </w:style>
  <w:style w:type="character" w:customStyle="1" w:styleId="ui-provider">
    <w:name w:val="ui-provider"/>
    <w:basedOn w:val="Policepardfaut"/>
    <w:rsid w:val="0056104F"/>
  </w:style>
  <w:style w:type="paragraph" w:styleId="En-ttedetabledesmatires">
    <w:name w:val="TOC Heading"/>
    <w:basedOn w:val="Titre1"/>
    <w:next w:val="Normal"/>
    <w:uiPriority w:val="39"/>
    <w:unhideWhenUsed/>
    <w:qFormat/>
    <w:rsid w:val="002E7939"/>
    <w:pPr>
      <w:suppressAutoHyphens w:val="0"/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E7939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CE2B23"/>
    <w:pPr>
      <w:tabs>
        <w:tab w:val="right" w:leader="dot" w:pos="9628"/>
      </w:tabs>
      <w:spacing w:after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382009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B0D8-22E1-4D25-8325-99F4F840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1638</Words>
  <Characters>9144</Characters>
  <Application>Microsoft Office Word</Application>
  <DocSecurity>0</DocSecurity>
  <Lines>268</Lines>
  <Paragraphs>141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Pommier</dc:creator>
  <cp:keywords/>
  <dc:description/>
  <cp:lastModifiedBy>Sylvie Pommier</cp:lastModifiedBy>
  <cp:revision>3</cp:revision>
  <dcterms:created xsi:type="dcterms:W3CDTF">2024-05-16T15:33:00Z</dcterms:created>
  <dcterms:modified xsi:type="dcterms:W3CDTF">2024-05-16T15:33:00Z</dcterms:modified>
</cp:coreProperties>
</file>