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0BE25" w14:textId="36A5813D" w:rsidR="004E5C2A" w:rsidRPr="00DF02F6" w:rsidRDefault="004E5C2A" w:rsidP="004E5C2A">
      <w:pPr>
        <w:autoSpaceDE w:val="0"/>
        <w:autoSpaceDN w:val="0"/>
        <w:adjustRightInd w:val="0"/>
        <w:spacing w:after="160" w:line="259" w:lineRule="auto"/>
        <w:jc w:val="center"/>
        <w:rPr>
          <w:rFonts w:eastAsiaTheme="minorHAnsi" w:cstheme="minorBidi"/>
          <w:b/>
          <w:bCs/>
          <w:i/>
          <w:iCs/>
          <w:color w:val="000000"/>
          <w:sz w:val="22"/>
          <w:szCs w:val="22"/>
          <w:lang w:eastAsia="en-US"/>
        </w:rPr>
      </w:pPr>
      <w:r w:rsidRPr="00DF02F6">
        <w:rPr>
          <w:rFonts w:eastAsiaTheme="minorHAnsi" w:cstheme="minorBidi"/>
          <w:b/>
          <w:bCs/>
          <w:i/>
          <w:iCs/>
          <w:color w:val="000000"/>
          <w:sz w:val="22"/>
          <w:szCs w:val="22"/>
          <w:lang w:eastAsia="en-US"/>
        </w:rPr>
        <w:t>C</w:t>
      </w:r>
      <w:r>
        <w:rPr>
          <w:rFonts w:eastAsiaTheme="minorHAnsi" w:cstheme="minorBidi"/>
          <w:b/>
          <w:bCs/>
          <w:i/>
          <w:iCs/>
          <w:color w:val="000000"/>
          <w:sz w:val="22"/>
          <w:szCs w:val="22"/>
          <w:lang w:eastAsia="en-US"/>
        </w:rPr>
        <w:t>ONDITIONS</w:t>
      </w:r>
      <w:r w:rsidRPr="00DF02F6">
        <w:rPr>
          <w:rFonts w:eastAsiaTheme="minorHAnsi" w:cstheme="minorBidi"/>
          <w:b/>
          <w:bCs/>
          <w:i/>
          <w:iCs/>
          <w:color w:val="000000"/>
          <w:sz w:val="22"/>
          <w:szCs w:val="22"/>
          <w:lang w:eastAsia="en-US"/>
        </w:rPr>
        <w:t xml:space="preserve"> G</w:t>
      </w:r>
      <w:r>
        <w:rPr>
          <w:rFonts w:eastAsiaTheme="minorHAnsi" w:cstheme="minorBidi"/>
          <w:b/>
          <w:bCs/>
          <w:i/>
          <w:iCs/>
          <w:color w:val="000000"/>
          <w:sz w:val="22"/>
          <w:szCs w:val="22"/>
          <w:lang w:eastAsia="en-US"/>
        </w:rPr>
        <w:t>ENERALES</w:t>
      </w:r>
      <w:r w:rsidRPr="00DF02F6">
        <w:rPr>
          <w:rFonts w:eastAsiaTheme="minorHAnsi" w:cstheme="minorBidi"/>
          <w:b/>
          <w:bCs/>
          <w:i/>
          <w:iCs/>
          <w:color w:val="000000"/>
          <w:sz w:val="22"/>
          <w:szCs w:val="22"/>
          <w:lang w:eastAsia="en-US"/>
        </w:rPr>
        <w:t xml:space="preserve"> </w:t>
      </w:r>
      <w:r w:rsidR="00A54E18">
        <w:rPr>
          <w:rFonts w:eastAsiaTheme="minorHAnsi" w:cstheme="minorBidi"/>
          <w:b/>
          <w:bCs/>
          <w:i/>
          <w:iCs/>
          <w:color w:val="000000"/>
          <w:sz w:val="22"/>
          <w:szCs w:val="22"/>
          <w:lang w:eastAsia="en-US"/>
        </w:rPr>
        <w:t>D</w:t>
      </w:r>
      <w:r w:rsidRPr="00DF02F6">
        <w:rPr>
          <w:rFonts w:eastAsiaTheme="minorHAnsi" w:cstheme="minorBidi"/>
          <w:b/>
          <w:bCs/>
          <w:i/>
          <w:iCs/>
          <w:color w:val="000000"/>
          <w:sz w:val="22"/>
          <w:szCs w:val="22"/>
          <w:lang w:eastAsia="en-US"/>
        </w:rPr>
        <w:t>’A</w:t>
      </w:r>
      <w:r>
        <w:rPr>
          <w:rFonts w:eastAsiaTheme="minorHAnsi" w:cstheme="minorBidi"/>
          <w:b/>
          <w:bCs/>
          <w:i/>
          <w:iCs/>
          <w:color w:val="000000"/>
          <w:sz w:val="22"/>
          <w:szCs w:val="22"/>
          <w:lang w:eastAsia="en-US"/>
        </w:rPr>
        <w:t>CHAT</w:t>
      </w:r>
      <w:r w:rsidRPr="00DF02F6">
        <w:rPr>
          <w:rFonts w:eastAsiaTheme="minorHAnsi" w:cstheme="minorBidi"/>
          <w:b/>
          <w:bCs/>
          <w:i/>
          <w:iCs/>
          <w:color w:val="000000"/>
          <w:sz w:val="22"/>
          <w:szCs w:val="22"/>
          <w:lang w:eastAsia="en-US"/>
        </w:rPr>
        <w:t xml:space="preserve"> </w:t>
      </w:r>
    </w:p>
    <w:p w14:paraId="2C7B4465" w14:textId="77777777" w:rsidR="004E5C2A" w:rsidRPr="003908DE" w:rsidRDefault="004E5C2A" w:rsidP="004E5C2A">
      <w:pPr>
        <w:autoSpaceDE w:val="0"/>
        <w:autoSpaceDN w:val="0"/>
        <w:adjustRightInd w:val="0"/>
        <w:spacing w:after="160" w:line="259" w:lineRule="auto"/>
        <w:jc w:val="center"/>
        <w:rPr>
          <w:rFonts w:eastAsiaTheme="minorHAnsi" w:cstheme="minorBidi"/>
          <w:b/>
          <w:bCs/>
          <w:i/>
          <w:iCs/>
          <w:color w:val="404040" w:themeColor="text1" w:themeTint="BF"/>
          <w:sz w:val="22"/>
          <w:szCs w:val="22"/>
          <w:lang w:eastAsia="en-US"/>
        </w:rPr>
      </w:pPr>
      <w:r>
        <w:rPr>
          <w:rFonts w:eastAsiaTheme="minorHAnsi" w:cstheme="minorBidi"/>
          <w:b/>
          <w:bCs/>
          <w:i/>
          <w:iCs/>
          <w:color w:val="000000"/>
          <w:sz w:val="22"/>
          <w:szCs w:val="22"/>
          <w:lang w:eastAsia="en-US"/>
        </w:rPr>
        <w:t xml:space="preserve">APPLICABLES AUX </w:t>
      </w:r>
      <w:r w:rsidRPr="003908DE">
        <w:rPr>
          <w:rFonts w:eastAsiaTheme="minorHAnsi" w:cstheme="minorBidi"/>
          <w:b/>
          <w:bCs/>
          <w:i/>
          <w:iCs/>
          <w:color w:val="404040" w:themeColor="text1" w:themeTint="BF"/>
          <w:sz w:val="22"/>
          <w:szCs w:val="22"/>
          <w:lang w:eastAsia="en-US"/>
        </w:rPr>
        <w:t>MARCHES DE TRAVAUX</w:t>
      </w:r>
    </w:p>
    <w:p w14:paraId="0FFB9DF4" w14:textId="77777777" w:rsidR="004E5C2A" w:rsidRPr="003908DE" w:rsidRDefault="004E5C2A" w:rsidP="004E5C2A">
      <w:pPr>
        <w:autoSpaceDE w:val="0"/>
        <w:autoSpaceDN w:val="0"/>
        <w:adjustRightInd w:val="0"/>
        <w:spacing w:after="160" w:line="259" w:lineRule="auto"/>
        <w:jc w:val="center"/>
        <w:rPr>
          <w:rFonts w:eastAsiaTheme="minorHAnsi" w:cstheme="minorBidi"/>
          <w:b/>
          <w:bCs/>
          <w:i/>
          <w:iCs/>
          <w:color w:val="404040" w:themeColor="text1" w:themeTint="BF"/>
          <w:sz w:val="22"/>
          <w:szCs w:val="22"/>
          <w:lang w:eastAsia="en-US"/>
        </w:rPr>
      </w:pPr>
      <w:bookmarkStart w:id="0" w:name="_GoBack"/>
      <w:bookmarkEnd w:id="0"/>
      <w:r w:rsidRPr="003908DE">
        <w:rPr>
          <w:rFonts w:eastAsiaTheme="minorHAnsi" w:cstheme="minorBidi"/>
          <w:b/>
          <w:bCs/>
          <w:i/>
          <w:iCs/>
          <w:color w:val="404040" w:themeColor="text1" w:themeTint="BF"/>
          <w:sz w:val="22"/>
          <w:szCs w:val="22"/>
          <w:lang w:eastAsia="en-US"/>
        </w:rPr>
        <w:t>PASSES PAR L’UNIVERSI</w:t>
      </w:r>
      <w:r w:rsidR="009844EC" w:rsidRPr="003908DE">
        <w:rPr>
          <w:rFonts w:eastAsiaTheme="minorHAnsi" w:cstheme="minorBidi"/>
          <w:b/>
          <w:bCs/>
          <w:i/>
          <w:iCs/>
          <w:color w:val="404040" w:themeColor="text1" w:themeTint="BF"/>
          <w:sz w:val="22"/>
          <w:szCs w:val="22"/>
          <w:lang w:eastAsia="en-US"/>
        </w:rPr>
        <w:t>TE PARIS-SACLAY A COMPTER DU 1</w:t>
      </w:r>
      <w:r w:rsidR="009844EC" w:rsidRPr="003908DE">
        <w:rPr>
          <w:rFonts w:eastAsiaTheme="minorHAnsi" w:cstheme="minorBidi"/>
          <w:b/>
          <w:bCs/>
          <w:i/>
          <w:iCs/>
          <w:color w:val="404040" w:themeColor="text1" w:themeTint="BF"/>
          <w:sz w:val="22"/>
          <w:szCs w:val="22"/>
          <w:vertAlign w:val="superscript"/>
          <w:lang w:eastAsia="en-US"/>
        </w:rPr>
        <w:t>er</w:t>
      </w:r>
      <w:r w:rsidR="009844EC" w:rsidRPr="003908DE">
        <w:rPr>
          <w:rFonts w:eastAsiaTheme="minorHAnsi" w:cstheme="minorBidi"/>
          <w:b/>
          <w:bCs/>
          <w:i/>
          <w:iCs/>
          <w:color w:val="404040" w:themeColor="text1" w:themeTint="BF"/>
          <w:sz w:val="22"/>
          <w:szCs w:val="22"/>
          <w:lang w:eastAsia="en-US"/>
        </w:rPr>
        <w:t xml:space="preserve"> octobre 2021</w:t>
      </w:r>
    </w:p>
    <w:p w14:paraId="42E74327" w14:textId="77777777" w:rsidR="004E5C2A" w:rsidRDefault="004E5C2A" w:rsidP="004E5C2A">
      <w:pPr>
        <w:pStyle w:val="Titre"/>
        <w:jc w:val="left"/>
        <w:rPr>
          <w:sz w:val="24"/>
          <w:szCs w:val="24"/>
        </w:rPr>
      </w:pPr>
      <w:r>
        <w:rPr>
          <w:sz w:val="24"/>
          <w:szCs w:val="24"/>
        </w:rPr>
        <w:t xml:space="preserve"> </w:t>
      </w:r>
    </w:p>
    <w:p w14:paraId="3D07FAC5" w14:textId="77777777" w:rsidR="004E5C2A" w:rsidRDefault="004E5C2A" w:rsidP="004E5C2A">
      <w:pPr>
        <w:pStyle w:val="Titre"/>
        <w:jc w:val="left"/>
        <w:rPr>
          <w:i/>
          <w:iCs/>
          <w:sz w:val="24"/>
          <w:szCs w:val="24"/>
        </w:rPr>
      </w:pPr>
    </w:p>
    <w:p w14:paraId="762C3BF8" w14:textId="77777777" w:rsidR="004E5C2A" w:rsidRPr="0013414C" w:rsidRDefault="004E5C2A" w:rsidP="009844EC">
      <w:pPr>
        <w:pStyle w:val="Titre6"/>
        <w:spacing w:before="60"/>
        <w:jc w:val="both"/>
        <w:rPr>
          <w:color w:val="0D0D0D" w:themeColor="text1" w:themeTint="F2"/>
        </w:rPr>
      </w:pPr>
      <w:r w:rsidRPr="0013414C">
        <w:rPr>
          <w:i/>
          <w:iCs/>
          <w:color w:val="0D0D0D" w:themeColor="text1" w:themeTint="F2"/>
        </w:rPr>
        <w:t>PREAMBULE</w:t>
      </w:r>
      <w:r w:rsidRPr="0013414C">
        <w:rPr>
          <w:color w:val="0D0D0D" w:themeColor="text1" w:themeTint="F2"/>
        </w:rPr>
        <w:t> :</w:t>
      </w:r>
    </w:p>
    <w:p w14:paraId="1A058239" w14:textId="77777777" w:rsidR="004E5C2A" w:rsidRPr="0013414C" w:rsidRDefault="004E5C2A" w:rsidP="009844EC">
      <w:pPr>
        <w:jc w:val="both"/>
        <w:rPr>
          <w:color w:val="0D0D0D" w:themeColor="text1" w:themeTint="F2"/>
        </w:rPr>
      </w:pPr>
    </w:p>
    <w:p w14:paraId="60617230" w14:textId="77777777" w:rsidR="004E5C2A" w:rsidRDefault="004E5C2A" w:rsidP="009844EC">
      <w:pPr>
        <w:jc w:val="both"/>
        <w:rPr>
          <w:color w:val="0D0D0D" w:themeColor="text1" w:themeTint="F2"/>
        </w:rPr>
      </w:pPr>
      <w:r w:rsidRPr="0013414C">
        <w:rPr>
          <w:color w:val="0D0D0D" w:themeColor="text1" w:themeTint="F2"/>
        </w:rPr>
        <w:t xml:space="preserve">Les conditions générales d’achat ont pour objet de définir le cadre des relations contractuelles entre l’Université Paris-Saclay et le titulaire du bon de commande, </w:t>
      </w:r>
      <w:r w:rsidRPr="0013414C">
        <w:rPr>
          <w:i/>
          <w:color w:val="0D0D0D" w:themeColor="text1" w:themeTint="F2"/>
        </w:rPr>
        <w:t>passé selon une procédure adaptée, conformément aux articles L.2123-1 et R2123-1 du Code de la Commande Publique (CCP). L’acceptation du présent bon de commande implique de plein droit l’acceptation des présentes conditions générales d’achat (CGA). Les dispositions générales de vente du titulaire ne prévalent jamais sur les présentes</w:t>
      </w:r>
      <w:r w:rsidRPr="0013414C">
        <w:rPr>
          <w:color w:val="0D0D0D" w:themeColor="text1" w:themeTint="F2"/>
        </w:rPr>
        <w:t xml:space="preserve"> CGA. Toutes les dispositions figurant dans les documents du titulaire (conditions générales de vente ou correspondances) qui seraient contraires aux clauses des présentes CGA sont réputées non écrites, sauf conditions générales de vente du titulaire plus favorables à l’établissement. L'exécution de toute tranche de travaux est subordonnée à l'agrément du Service Sécurité et prévention des Risques de l'Université Paris-Saclay (tel : 01 69 15 46 82) chargé de réaliser le plan de prévention, au regard du décret n° 92-158 du 20 février 1992.</w:t>
      </w:r>
    </w:p>
    <w:p w14:paraId="15667F18" w14:textId="77777777" w:rsidR="00E30D00" w:rsidRDefault="00E30D00" w:rsidP="009844EC">
      <w:pPr>
        <w:jc w:val="both"/>
        <w:rPr>
          <w:color w:val="0D0D0D" w:themeColor="text1" w:themeTint="F2"/>
        </w:rPr>
      </w:pPr>
    </w:p>
    <w:p w14:paraId="18268587" w14:textId="74A5693A" w:rsidR="00E30D00" w:rsidRDefault="00E30D00" w:rsidP="00E30D00">
      <w:pPr>
        <w:autoSpaceDE w:val="0"/>
        <w:autoSpaceDN w:val="0"/>
        <w:adjustRightInd w:val="0"/>
        <w:jc w:val="both"/>
        <w:rPr>
          <w:szCs w:val="16"/>
        </w:rPr>
      </w:pPr>
      <w:r w:rsidRPr="00C35AE6">
        <w:rPr>
          <w:szCs w:val="16"/>
        </w:rPr>
        <w:t xml:space="preserve">Sauf dérogation(s) expressément(s) exprimée(s) dans le bon de commande et/ou de tout autre document ou ses annexes ou dans les présentes conditions générales d’achat, les stipulations du Cahier des clauses administratives générales applicables aux marchés de </w:t>
      </w:r>
      <w:r w:rsidR="00C159B7" w:rsidRPr="00C35AE6">
        <w:rPr>
          <w:szCs w:val="16"/>
        </w:rPr>
        <w:t>travaux</w:t>
      </w:r>
      <w:r w:rsidRPr="00C35AE6">
        <w:rPr>
          <w:szCs w:val="16"/>
        </w:rPr>
        <w:t xml:space="preserve"> dans sa version annexée à l’arrêté du </w:t>
      </w:r>
      <w:r w:rsidR="00C159B7" w:rsidRPr="00C35AE6">
        <w:rPr>
          <w:szCs w:val="16"/>
        </w:rPr>
        <w:t>31 mars 2021</w:t>
      </w:r>
      <w:r w:rsidRPr="00C35AE6">
        <w:rPr>
          <w:szCs w:val="16"/>
        </w:rPr>
        <w:t xml:space="preserve"> portant approbation du cahier des clauses administratives générales des marchés publics de </w:t>
      </w:r>
      <w:r w:rsidR="00C159B7" w:rsidRPr="00C35AE6">
        <w:rPr>
          <w:szCs w:val="16"/>
        </w:rPr>
        <w:t>travaux</w:t>
      </w:r>
      <w:r w:rsidRPr="00C35AE6">
        <w:rPr>
          <w:szCs w:val="16"/>
        </w:rPr>
        <w:t xml:space="preserve"> (ci-après désigné « CCAG </w:t>
      </w:r>
      <w:r w:rsidR="00C159B7" w:rsidRPr="00C35AE6">
        <w:rPr>
          <w:szCs w:val="16"/>
        </w:rPr>
        <w:t>Travaux</w:t>
      </w:r>
      <w:r w:rsidRPr="00C35AE6">
        <w:rPr>
          <w:szCs w:val="16"/>
        </w:rPr>
        <w:t xml:space="preserve"> »), sont applicables au marché. Les présentes CGA font office de cahier des clauses administratives particulières en l’absence de ce dernier.</w:t>
      </w:r>
    </w:p>
    <w:p w14:paraId="08C2D933" w14:textId="77777777" w:rsidR="00C35AE6" w:rsidRPr="00C35AE6" w:rsidRDefault="00C35AE6" w:rsidP="00E30D00">
      <w:pPr>
        <w:autoSpaceDE w:val="0"/>
        <w:autoSpaceDN w:val="0"/>
        <w:adjustRightInd w:val="0"/>
        <w:jc w:val="both"/>
        <w:rPr>
          <w:szCs w:val="16"/>
        </w:rPr>
      </w:pPr>
    </w:p>
    <w:p w14:paraId="18DD3C4D" w14:textId="78CE2229" w:rsidR="00E30D00" w:rsidRPr="00C35AE6" w:rsidRDefault="00E30D00" w:rsidP="00E30D00">
      <w:pPr>
        <w:autoSpaceDE w:val="0"/>
        <w:autoSpaceDN w:val="0"/>
        <w:adjustRightInd w:val="0"/>
        <w:jc w:val="both"/>
        <w:rPr>
          <w:szCs w:val="16"/>
        </w:rPr>
      </w:pPr>
      <w:r w:rsidRPr="00C35AE6">
        <w:rPr>
          <w:szCs w:val="16"/>
        </w:rPr>
        <w:t xml:space="preserve">A titre indicatif, le CCAG </w:t>
      </w:r>
      <w:r w:rsidR="00937E46">
        <w:rPr>
          <w:szCs w:val="16"/>
        </w:rPr>
        <w:t>Travaux</w:t>
      </w:r>
      <w:r w:rsidRPr="00C35AE6">
        <w:rPr>
          <w:szCs w:val="16"/>
        </w:rPr>
        <w:t xml:space="preserve"> peut être consulté à l’adresse suivante :</w:t>
      </w:r>
    </w:p>
    <w:p w14:paraId="7A5F088C" w14:textId="77777777" w:rsidR="00E30D00" w:rsidRPr="00C35AE6" w:rsidRDefault="00B7513C" w:rsidP="00E30D00">
      <w:pPr>
        <w:autoSpaceDE w:val="0"/>
        <w:autoSpaceDN w:val="0"/>
        <w:adjustRightInd w:val="0"/>
        <w:jc w:val="both"/>
        <w:rPr>
          <w:i/>
          <w:szCs w:val="16"/>
          <w:u w:val="single"/>
        </w:rPr>
      </w:pPr>
      <w:hyperlink r:id="rId6" w:history="1">
        <w:r w:rsidR="00C159B7" w:rsidRPr="00C35AE6">
          <w:rPr>
            <w:rStyle w:val="Lienhypertexte"/>
            <w:i/>
            <w:color w:val="auto"/>
            <w:szCs w:val="16"/>
          </w:rPr>
          <w:t>https://www.legifrance.gouv.fr/jorf/id/JORFTEXT000043310421</w:t>
        </w:r>
      </w:hyperlink>
    </w:p>
    <w:p w14:paraId="2AD7D401" w14:textId="77777777" w:rsidR="00E30D00" w:rsidRPr="0013414C" w:rsidRDefault="00E30D00" w:rsidP="009844EC">
      <w:pPr>
        <w:jc w:val="both"/>
        <w:rPr>
          <w:color w:val="0D0D0D" w:themeColor="text1" w:themeTint="F2"/>
        </w:rPr>
      </w:pPr>
    </w:p>
    <w:p w14:paraId="34ECE8A1" w14:textId="77777777" w:rsidR="004E5C2A" w:rsidRPr="0013414C" w:rsidRDefault="004E5C2A" w:rsidP="009844EC">
      <w:pPr>
        <w:jc w:val="both"/>
        <w:rPr>
          <w:b/>
          <w:bCs/>
          <w:color w:val="0D0D0D" w:themeColor="text1" w:themeTint="F2"/>
        </w:rPr>
      </w:pPr>
      <w:r w:rsidRPr="0013414C">
        <w:rPr>
          <w:b/>
          <w:bCs/>
          <w:color w:val="0D0D0D" w:themeColor="text1" w:themeTint="F2"/>
        </w:rPr>
        <w:t>En acceptant le présent bon de commande, le titulaire atteste sur l’honneur de sa régularité au regard des dispositions des articles L2141-1 à L2141-6 et des article R2143-3 à R2143-16 du CCP.</w:t>
      </w:r>
    </w:p>
    <w:p w14:paraId="7FA54027" w14:textId="77777777" w:rsidR="0013414C" w:rsidRPr="0013414C" w:rsidRDefault="0013414C" w:rsidP="009844EC">
      <w:pPr>
        <w:pStyle w:val="Titre6"/>
        <w:spacing w:before="80"/>
        <w:jc w:val="both"/>
        <w:rPr>
          <w:color w:val="0D0D0D" w:themeColor="text1" w:themeTint="F2"/>
          <w:szCs w:val="16"/>
        </w:rPr>
      </w:pPr>
    </w:p>
    <w:p w14:paraId="019B05F1" w14:textId="77777777" w:rsidR="004E5C2A" w:rsidRPr="0013414C" w:rsidRDefault="004E5C2A" w:rsidP="009844EC">
      <w:pPr>
        <w:pStyle w:val="Titre6"/>
        <w:spacing w:before="80"/>
        <w:jc w:val="both"/>
        <w:rPr>
          <w:i/>
          <w:iCs/>
          <w:color w:val="0D0D0D" w:themeColor="text1" w:themeTint="F2"/>
          <w:szCs w:val="16"/>
        </w:rPr>
      </w:pPr>
      <w:r w:rsidRPr="0013414C">
        <w:rPr>
          <w:color w:val="0D0D0D" w:themeColor="text1" w:themeTint="F2"/>
          <w:szCs w:val="16"/>
        </w:rPr>
        <w:t xml:space="preserve">Article 1 - </w:t>
      </w:r>
      <w:r w:rsidRPr="0013414C">
        <w:rPr>
          <w:i/>
          <w:iCs/>
          <w:color w:val="0D0D0D" w:themeColor="text1" w:themeTint="F2"/>
          <w:szCs w:val="16"/>
        </w:rPr>
        <w:t>Objet, contenu, spécifications techniques et délais d’exécution de la commande</w:t>
      </w:r>
    </w:p>
    <w:p w14:paraId="333FA613" w14:textId="77777777" w:rsidR="004E5C2A" w:rsidRPr="0013414C" w:rsidRDefault="004E5C2A" w:rsidP="009844EC">
      <w:pPr>
        <w:jc w:val="both"/>
        <w:rPr>
          <w:color w:val="0D0D0D" w:themeColor="text1" w:themeTint="F2"/>
        </w:rPr>
      </w:pPr>
    </w:p>
    <w:p w14:paraId="2BD2F13C" w14:textId="77777777" w:rsidR="0013414C" w:rsidRDefault="004E5C2A" w:rsidP="009844EC">
      <w:pPr>
        <w:jc w:val="both"/>
        <w:rPr>
          <w:color w:val="0D0D0D" w:themeColor="text1" w:themeTint="F2"/>
        </w:rPr>
      </w:pPr>
      <w:r w:rsidRPr="0013414C">
        <w:rPr>
          <w:color w:val="0D0D0D" w:themeColor="text1" w:themeTint="F2"/>
        </w:rPr>
        <w:t>L’objet de la commande, son contenu, ses spécifications techniques et les modalités particulières d’exécution sont définis par le bon de commande et ses documents annexés. Les travaux sont exécutés à l’adresse (lieu de réalisation) figurant sur le bon de commande. Le lieu de réalisation des travaux peut être différent de l'adresse de facturation. Les travaux exécutés doivent être conformes à ceux définis contractuellement par le bon de commande ou les documents annexés, et ce, dans les délais prescrits, en tenant compte de l'avis obligatoire du Service d'Hygiène et de Sécurité de l'Université Paris-Saclay. Le délai court à compter de la date de réception du bon de commande.</w:t>
      </w:r>
      <w:r w:rsidRPr="0013414C">
        <w:rPr>
          <w:b/>
          <w:bCs/>
          <w:color w:val="0D0D0D" w:themeColor="text1" w:themeTint="F2"/>
        </w:rPr>
        <w:t xml:space="preserve"> Dans l’hypothèse où le titulaire se trouverait dans l’impossibilité de satisfaire aux conditions fixées</w:t>
      </w:r>
      <w:r w:rsidRPr="0013414C">
        <w:rPr>
          <w:color w:val="0D0D0D" w:themeColor="text1" w:themeTint="F2"/>
        </w:rPr>
        <w:t xml:space="preserve">, il doit en aviser immédiatement le service émetteur du bon de </w:t>
      </w:r>
      <w:r w:rsidR="009844EC" w:rsidRPr="0013414C">
        <w:rPr>
          <w:color w:val="0D0D0D" w:themeColor="text1" w:themeTint="F2"/>
        </w:rPr>
        <w:t>commande, par écrit (</w:t>
      </w:r>
      <w:r w:rsidRPr="0013414C">
        <w:rPr>
          <w:color w:val="0D0D0D" w:themeColor="text1" w:themeTint="F2"/>
        </w:rPr>
        <w:t xml:space="preserve">courrier électroniques, etc.). A défaut, ces indications sont réputées acceptées. </w:t>
      </w:r>
    </w:p>
    <w:p w14:paraId="567D50F7" w14:textId="77777777" w:rsidR="004E5C2A" w:rsidRPr="0013414C" w:rsidRDefault="004E5C2A" w:rsidP="009844EC">
      <w:pPr>
        <w:jc w:val="both"/>
        <w:rPr>
          <w:color w:val="0D0D0D" w:themeColor="text1" w:themeTint="F2"/>
        </w:rPr>
      </w:pPr>
      <w:r w:rsidRPr="0013414C">
        <w:rPr>
          <w:color w:val="0D0D0D" w:themeColor="text1" w:themeTint="F2"/>
        </w:rPr>
        <w:t xml:space="preserve">En cas de non-respect des délais, l’Université Paris-Saclay se réserve la possibilité de résilier la commande sans mise en demeure préalable, ni indemnité et/ou d’appliquer, après mise en demeure restée sans </w:t>
      </w:r>
      <w:r w:rsidRPr="003908DE">
        <w:rPr>
          <w:color w:val="404040" w:themeColor="text1" w:themeTint="BF"/>
        </w:rPr>
        <w:t xml:space="preserve">effet, une pénalité forfaitaire égale à 10% du montant des travaux non exécutés. Le titulaire est soumis à une obligation de moyen portant sur l’exécution des prestations. Il est responsable des risques liés à la mise en œuvre des travaux qu'il accepte d'exécuter. Il s’engage au respect des normes régissant sa profession et au respect des consignes émanant du Service d'Hygiène et de Sécurité de l'Université Paris-Saclay, notamment pour la signalisation du chantier et la limitation de son accès. </w:t>
      </w:r>
      <w:r w:rsidRPr="003908DE">
        <w:rPr>
          <w:b/>
          <w:bCs/>
          <w:color w:val="404040" w:themeColor="text1" w:themeTint="BF"/>
        </w:rPr>
        <w:t xml:space="preserve">Le titulaire s'engage à prendre contact avec le Service d'Hygiène et de Sécurité </w:t>
      </w:r>
      <w:r w:rsidRPr="0013414C">
        <w:rPr>
          <w:b/>
          <w:bCs/>
          <w:color w:val="0D0D0D" w:themeColor="text1" w:themeTint="F2"/>
        </w:rPr>
        <w:t>de l'Université Paris-Saclay préalablement aux travaux et à respecter le plan de prévention établi par ce service</w:t>
      </w:r>
      <w:r w:rsidRPr="0013414C">
        <w:rPr>
          <w:color w:val="0D0D0D" w:themeColor="text1" w:themeTint="F2"/>
        </w:rPr>
        <w:t>. Le nettoyage pendant et après chantier incombe à l'entrepreneur, y compris l'évacuation des éventuels gravois.</w:t>
      </w:r>
    </w:p>
    <w:p w14:paraId="209804D6" w14:textId="77777777" w:rsidR="0013414C" w:rsidRDefault="0013414C" w:rsidP="009844EC">
      <w:pPr>
        <w:pStyle w:val="Titre6"/>
        <w:spacing w:before="80"/>
        <w:jc w:val="both"/>
        <w:rPr>
          <w:color w:val="0D0D0D" w:themeColor="text1" w:themeTint="F2"/>
          <w:szCs w:val="16"/>
        </w:rPr>
      </w:pPr>
    </w:p>
    <w:p w14:paraId="02FE5386" w14:textId="77777777" w:rsidR="004E5C2A" w:rsidRPr="0013414C" w:rsidRDefault="004E5C2A" w:rsidP="009844EC">
      <w:pPr>
        <w:pStyle w:val="Titre6"/>
        <w:spacing w:before="80"/>
        <w:jc w:val="both"/>
        <w:rPr>
          <w:i/>
          <w:iCs/>
          <w:color w:val="0D0D0D" w:themeColor="text1" w:themeTint="F2"/>
          <w:szCs w:val="16"/>
        </w:rPr>
      </w:pPr>
      <w:r w:rsidRPr="0013414C">
        <w:rPr>
          <w:color w:val="0D0D0D" w:themeColor="text1" w:themeTint="F2"/>
          <w:szCs w:val="16"/>
        </w:rPr>
        <w:t xml:space="preserve">Article 2 – </w:t>
      </w:r>
      <w:r w:rsidRPr="0013414C">
        <w:rPr>
          <w:i/>
          <w:iCs/>
          <w:color w:val="0D0D0D" w:themeColor="text1" w:themeTint="F2"/>
          <w:szCs w:val="16"/>
        </w:rPr>
        <w:t>Opération de vérification</w:t>
      </w:r>
    </w:p>
    <w:p w14:paraId="71D6DD9F" w14:textId="77777777" w:rsidR="004E5C2A" w:rsidRPr="0013414C" w:rsidRDefault="004E5C2A" w:rsidP="009844EC">
      <w:pPr>
        <w:jc w:val="both"/>
        <w:rPr>
          <w:color w:val="0D0D0D" w:themeColor="text1" w:themeTint="F2"/>
        </w:rPr>
      </w:pPr>
    </w:p>
    <w:p w14:paraId="5B010177" w14:textId="77777777" w:rsidR="004E5C2A" w:rsidRPr="0013414C" w:rsidRDefault="004E5C2A" w:rsidP="009844EC">
      <w:pPr>
        <w:jc w:val="both"/>
        <w:rPr>
          <w:color w:val="0D0D0D" w:themeColor="text1" w:themeTint="F2"/>
        </w:rPr>
      </w:pPr>
      <w:r w:rsidRPr="0013414C">
        <w:rPr>
          <w:color w:val="0D0D0D" w:themeColor="text1" w:themeTint="F2"/>
        </w:rPr>
        <w:t xml:space="preserve">Les travaux exécutés sont examinés quantitativement et qualitativement par le service émetteur et, éventuellement par le Maître d'œuvre. Les opérations de vérification s’effectuent dans les cinq jours ouvrés suivant la date de fin de réalisation des prestations. La réception définitive des travaux aura </w:t>
      </w:r>
      <w:r w:rsidRPr="003908DE">
        <w:rPr>
          <w:color w:val="404040" w:themeColor="text1" w:themeTint="BF"/>
        </w:rPr>
        <w:t>lieu après remise du dossier des ouvrages exécutés. Elle sera assimilée à l'apposition sur la facture d'un cachet indiquant "SIGNATURE VALANT RECEPTION". Par dérogation à l'article 19 du CCAG de Travaux, en cas de retard dans l'exécution des travaux, il sera appliqué, par jour de retard, une pénalité égale à 1 % du montant TTC du bon de commande considéré.</w:t>
      </w:r>
    </w:p>
    <w:p w14:paraId="50A227F1" w14:textId="77777777" w:rsidR="004E5C2A" w:rsidRPr="0013414C" w:rsidRDefault="004E5C2A" w:rsidP="009844EC">
      <w:pPr>
        <w:jc w:val="both"/>
        <w:rPr>
          <w:color w:val="0D0D0D" w:themeColor="text1" w:themeTint="F2"/>
        </w:rPr>
      </w:pPr>
      <w:r w:rsidRPr="0013414C">
        <w:rPr>
          <w:b/>
          <w:bCs/>
          <w:color w:val="0D0D0D" w:themeColor="text1" w:themeTint="F2"/>
        </w:rPr>
        <w:t xml:space="preserve">NOTA : </w:t>
      </w:r>
      <w:r w:rsidRPr="0013414C">
        <w:rPr>
          <w:color w:val="0D0D0D" w:themeColor="text1" w:themeTint="F2"/>
        </w:rPr>
        <w:t>le titulaire déclare parfaitement connaître le CCAG et le CCTG applicables aux marchés publics de travaux ainsi que le Cahier des Clauses Spéciales et mémentos des documents techniques unifiés (CCS / DTU).</w:t>
      </w:r>
    </w:p>
    <w:p w14:paraId="77E33019" w14:textId="77777777" w:rsidR="00C25BB7" w:rsidRPr="0013414C" w:rsidRDefault="00C25BB7" w:rsidP="009844EC">
      <w:pPr>
        <w:pStyle w:val="Titre6"/>
        <w:spacing w:before="80"/>
        <w:jc w:val="both"/>
        <w:rPr>
          <w:color w:val="0D0D0D" w:themeColor="text1" w:themeTint="F2"/>
          <w:szCs w:val="16"/>
        </w:rPr>
      </w:pPr>
    </w:p>
    <w:p w14:paraId="61B93055" w14:textId="77777777" w:rsidR="004E5C2A" w:rsidRPr="0013414C" w:rsidRDefault="004E5C2A" w:rsidP="009844EC">
      <w:pPr>
        <w:pStyle w:val="Titre6"/>
        <w:spacing w:before="80"/>
        <w:jc w:val="both"/>
        <w:rPr>
          <w:i/>
          <w:iCs/>
          <w:color w:val="0D0D0D" w:themeColor="text1" w:themeTint="F2"/>
          <w:szCs w:val="16"/>
        </w:rPr>
      </w:pPr>
      <w:r w:rsidRPr="0013414C">
        <w:rPr>
          <w:color w:val="0D0D0D" w:themeColor="text1" w:themeTint="F2"/>
          <w:szCs w:val="16"/>
        </w:rPr>
        <w:t xml:space="preserve">Article 3 - </w:t>
      </w:r>
      <w:r w:rsidRPr="0013414C">
        <w:rPr>
          <w:i/>
          <w:iCs/>
          <w:color w:val="0D0D0D" w:themeColor="text1" w:themeTint="F2"/>
          <w:szCs w:val="16"/>
        </w:rPr>
        <w:t>Modalités de règlement</w:t>
      </w:r>
    </w:p>
    <w:p w14:paraId="18801375" w14:textId="77777777" w:rsidR="004E5C2A" w:rsidRPr="0013414C" w:rsidRDefault="004E5C2A" w:rsidP="009844EC">
      <w:pPr>
        <w:jc w:val="both"/>
        <w:rPr>
          <w:color w:val="0D0D0D" w:themeColor="text1" w:themeTint="F2"/>
        </w:rPr>
      </w:pPr>
    </w:p>
    <w:p w14:paraId="04773C89" w14:textId="77777777" w:rsidR="004E5C2A" w:rsidRPr="0013414C" w:rsidRDefault="004E5C2A" w:rsidP="009844EC">
      <w:pPr>
        <w:jc w:val="both"/>
        <w:rPr>
          <w:rFonts w:cstheme="minorHAnsi"/>
          <w:color w:val="0D0D0D" w:themeColor="text1" w:themeTint="F2"/>
        </w:rPr>
      </w:pPr>
      <w:r w:rsidRPr="0013414C">
        <w:rPr>
          <w:rFonts w:cstheme="minorHAnsi"/>
          <w:color w:val="0D0D0D" w:themeColor="text1" w:themeTint="F2"/>
        </w:rPr>
        <w:t xml:space="preserve">Le délai global de paiement est de 30 jours pour les </w:t>
      </w:r>
      <w:r w:rsidR="008D7BCD" w:rsidRPr="0013414C">
        <w:rPr>
          <w:rFonts w:cstheme="minorHAnsi"/>
          <w:color w:val="0D0D0D" w:themeColor="text1" w:themeTint="F2"/>
        </w:rPr>
        <w:t>marchés passés en application du Code de la Commande Publique</w:t>
      </w:r>
      <w:r w:rsidRPr="0013414C">
        <w:rPr>
          <w:rFonts w:cstheme="minorHAnsi"/>
          <w:color w:val="0D0D0D" w:themeColor="text1" w:themeTint="F2"/>
        </w:rPr>
        <w:t>. Le dépassement du délai de paiement ouvre de plein droit et sans autre formalité pour le titulaire du marché ou le sous-traitant, le bénéfice d'intérêts moratoires, à compter du jour suivant l'expiration du délai, selon les modalités d'application prévues par la loi n° 2013-100 du 28 janvier 2013 et le décret n° 2013-269 du 29 mars 2013.</w:t>
      </w:r>
    </w:p>
    <w:p w14:paraId="6D59FCC1" w14:textId="77777777" w:rsidR="008D7BCD" w:rsidRPr="0013414C" w:rsidRDefault="008D7BCD" w:rsidP="009844EC">
      <w:pPr>
        <w:jc w:val="both"/>
        <w:rPr>
          <w:rFonts w:cstheme="minorHAnsi"/>
          <w:color w:val="0D0D0D" w:themeColor="text1" w:themeTint="F2"/>
        </w:rPr>
      </w:pPr>
    </w:p>
    <w:p w14:paraId="30425FAA" w14:textId="77777777" w:rsidR="008D7BCD" w:rsidRPr="003908DE" w:rsidRDefault="008D7BCD" w:rsidP="008D7BCD">
      <w:pPr>
        <w:autoSpaceDE w:val="0"/>
        <w:autoSpaceDN w:val="0"/>
        <w:adjustRightInd w:val="0"/>
        <w:jc w:val="both"/>
        <w:rPr>
          <w:rFonts w:cstheme="minorHAnsi"/>
          <w:color w:val="0D0D0D" w:themeColor="text1" w:themeTint="F2"/>
          <w:szCs w:val="16"/>
        </w:rPr>
      </w:pPr>
      <w:r w:rsidRPr="0013414C">
        <w:rPr>
          <w:rFonts w:cstheme="minorHAnsi"/>
          <w:color w:val="0D0D0D" w:themeColor="text1" w:themeTint="F2"/>
          <w:szCs w:val="16"/>
        </w:rPr>
        <w:t xml:space="preserve">Les factures, accompagnées d’un RIB ou RIP, doivent respecter les </w:t>
      </w:r>
      <w:r w:rsidRPr="003908DE">
        <w:rPr>
          <w:rFonts w:cstheme="minorHAnsi"/>
          <w:color w:val="0D0D0D" w:themeColor="text1" w:themeTint="F2"/>
          <w:szCs w:val="16"/>
        </w:rPr>
        <w:t>dispositions des articles 289-0 et 289 du Code Général des Impôts (CGI) et comporter, outre les mentions exigées par l’article 242 nonies A de l’annexe 2 du CGI, les références de la commande, du marché et du lot correspondant, le cas échéant</w:t>
      </w:r>
    </w:p>
    <w:p w14:paraId="7D5CD7CB" w14:textId="77777777" w:rsidR="00C25BB7" w:rsidRPr="003908DE" w:rsidRDefault="00C25BB7" w:rsidP="00C25BB7">
      <w:pPr>
        <w:jc w:val="both"/>
        <w:rPr>
          <w:rFonts w:cstheme="minorHAnsi"/>
          <w:b/>
          <w:bCs/>
          <w:color w:val="0D0D0D" w:themeColor="text1" w:themeTint="F2"/>
        </w:rPr>
      </w:pPr>
      <w:r w:rsidRPr="003908DE">
        <w:rPr>
          <w:rFonts w:cstheme="minorHAnsi"/>
          <w:color w:val="0D0D0D" w:themeColor="text1" w:themeTint="F2"/>
        </w:rPr>
        <w:t xml:space="preserve">Les références figurant sur le bon de commande doivent être rappelées sur les factures, sur tout bon de livraison exécutée par un tiers, et dans toute correspondance. </w:t>
      </w:r>
    </w:p>
    <w:p w14:paraId="6DCF7B2F" w14:textId="77777777" w:rsidR="008D7BCD" w:rsidRPr="003908DE" w:rsidRDefault="008D7BCD" w:rsidP="008D7BCD">
      <w:pPr>
        <w:autoSpaceDE w:val="0"/>
        <w:autoSpaceDN w:val="0"/>
        <w:adjustRightInd w:val="0"/>
        <w:jc w:val="both"/>
        <w:rPr>
          <w:rFonts w:cstheme="minorHAnsi"/>
          <w:color w:val="0D0D0D" w:themeColor="text1" w:themeTint="F2"/>
          <w:szCs w:val="16"/>
        </w:rPr>
      </w:pPr>
      <w:r w:rsidRPr="003908DE">
        <w:rPr>
          <w:rFonts w:cstheme="minorHAnsi"/>
          <w:color w:val="0D0D0D" w:themeColor="text1" w:themeTint="F2"/>
          <w:szCs w:val="16"/>
        </w:rPr>
        <w:t>La facture doit mentionnée impérativement le numéro du bon de commande de l’Université, sous peine de rejet.</w:t>
      </w:r>
    </w:p>
    <w:p w14:paraId="4BB59E67" w14:textId="77777777" w:rsidR="00C25BB7" w:rsidRPr="003908DE" w:rsidRDefault="00C25BB7" w:rsidP="008D7BCD">
      <w:pPr>
        <w:autoSpaceDE w:val="0"/>
        <w:autoSpaceDN w:val="0"/>
        <w:adjustRightInd w:val="0"/>
        <w:jc w:val="both"/>
        <w:rPr>
          <w:rFonts w:cstheme="minorHAnsi"/>
          <w:color w:val="0D0D0D" w:themeColor="text1" w:themeTint="F2"/>
          <w:szCs w:val="16"/>
        </w:rPr>
      </w:pPr>
    </w:p>
    <w:p w14:paraId="118AB7A7" w14:textId="77777777" w:rsidR="008D7BCD" w:rsidRPr="003908DE" w:rsidRDefault="008D7BCD" w:rsidP="008D7BCD">
      <w:pPr>
        <w:pStyle w:val="Normal2"/>
        <w:ind w:left="0" w:firstLine="0"/>
        <w:rPr>
          <w:rFonts w:asciiTheme="minorHAnsi" w:hAnsiTheme="minorHAnsi" w:cstheme="minorHAnsi"/>
          <w:color w:val="0D0D0D" w:themeColor="text1" w:themeTint="F2"/>
          <w:sz w:val="16"/>
          <w:szCs w:val="16"/>
        </w:rPr>
      </w:pPr>
      <w:r w:rsidRPr="003908DE">
        <w:rPr>
          <w:rFonts w:asciiTheme="minorHAnsi" w:hAnsiTheme="minorHAnsi" w:cstheme="minorHAnsi"/>
          <w:color w:val="0D0D0D" w:themeColor="text1" w:themeTint="F2"/>
          <w:sz w:val="16"/>
          <w:szCs w:val="16"/>
        </w:rPr>
        <w:t>La facture doit être envoyée à l’adresse ci-après avec le numéro de bon de commande</w:t>
      </w:r>
    </w:p>
    <w:p w14:paraId="11B43A2B" w14:textId="77777777" w:rsidR="008D7BCD" w:rsidRPr="0013414C" w:rsidRDefault="008D7BCD" w:rsidP="008D7BCD">
      <w:pPr>
        <w:autoSpaceDE w:val="0"/>
        <w:autoSpaceDN w:val="0"/>
        <w:adjustRightInd w:val="0"/>
        <w:jc w:val="both"/>
        <w:rPr>
          <w:rFonts w:cstheme="minorHAnsi"/>
          <w:b/>
          <w:bCs/>
          <w:color w:val="0D0D0D" w:themeColor="text1" w:themeTint="F2"/>
          <w:szCs w:val="16"/>
        </w:rPr>
      </w:pPr>
      <w:r w:rsidRPr="003908DE">
        <w:rPr>
          <w:rFonts w:cstheme="minorHAnsi"/>
          <w:b/>
          <w:bCs/>
          <w:color w:val="0D0D0D" w:themeColor="text1" w:themeTint="F2"/>
          <w:szCs w:val="16"/>
        </w:rPr>
        <w:t xml:space="preserve"> Site de chorus-pro.gouv.fr</w:t>
      </w:r>
    </w:p>
    <w:p w14:paraId="4A283573" w14:textId="77777777" w:rsidR="008D7BCD" w:rsidRPr="0013414C" w:rsidRDefault="008D7BCD" w:rsidP="009844EC">
      <w:pPr>
        <w:jc w:val="both"/>
        <w:rPr>
          <w:color w:val="0D0D0D" w:themeColor="text1" w:themeTint="F2"/>
        </w:rPr>
      </w:pPr>
    </w:p>
    <w:p w14:paraId="03974E9A" w14:textId="77777777" w:rsidR="004E5C2A" w:rsidRPr="0013414C" w:rsidRDefault="004E5C2A" w:rsidP="009844EC">
      <w:pPr>
        <w:pStyle w:val="Titre6"/>
        <w:spacing w:before="80"/>
        <w:jc w:val="both"/>
        <w:rPr>
          <w:color w:val="0D0D0D" w:themeColor="text1" w:themeTint="F2"/>
          <w:szCs w:val="16"/>
        </w:rPr>
      </w:pPr>
      <w:r w:rsidRPr="0013414C">
        <w:rPr>
          <w:color w:val="0D0D0D" w:themeColor="text1" w:themeTint="F2"/>
          <w:szCs w:val="16"/>
        </w:rPr>
        <w:t xml:space="preserve">Article 4 – </w:t>
      </w:r>
      <w:r w:rsidRPr="0013414C">
        <w:rPr>
          <w:i/>
          <w:iCs/>
          <w:color w:val="0D0D0D" w:themeColor="text1" w:themeTint="F2"/>
          <w:szCs w:val="16"/>
        </w:rPr>
        <w:t>Avance</w:t>
      </w:r>
      <w:r w:rsidRPr="0013414C">
        <w:rPr>
          <w:color w:val="0D0D0D" w:themeColor="text1" w:themeTint="F2"/>
          <w:szCs w:val="16"/>
        </w:rPr>
        <w:t xml:space="preserve"> : </w:t>
      </w:r>
    </w:p>
    <w:p w14:paraId="5EAF2AE8" w14:textId="77777777" w:rsidR="004E5C2A" w:rsidRPr="0013414C" w:rsidRDefault="004E5C2A" w:rsidP="009844EC">
      <w:pPr>
        <w:jc w:val="both"/>
        <w:rPr>
          <w:color w:val="0D0D0D" w:themeColor="text1" w:themeTint="F2"/>
        </w:rPr>
      </w:pPr>
    </w:p>
    <w:p w14:paraId="010DF2A2" w14:textId="77777777" w:rsidR="004E5C2A" w:rsidRPr="0013414C" w:rsidRDefault="004E5C2A" w:rsidP="009844EC">
      <w:pPr>
        <w:jc w:val="both"/>
        <w:rPr>
          <w:color w:val="0D0D0D" w:themeColor="text1" w:themeTint="F2"/>
        </w:rPr>
      </w:pPr>
      <w:r w:rsidRPr="0013414C">
        <w:rPr>
          <w:color w:val="0D0D0D" w:themeColor="text1" w:themeTint="F2"/>
        </w:rPr>
        <w:t xml:space="preserve">Lorsque le montant total du bon de commande est supérieur à 50 000 € HT et la durée d’exécution supérieure à 2 mois, une avance peut lui être versée dans les conditions fixées à </w:t>
      </w:r>
      <w:r w:rsidRPr="0013414C">
        <w:rPr>
          <w:i/>
          <w:color w:val="0D0D0D" w:themeColor="text1" w:themeTint="F2"/>
        </w:rPr>
        <w:t>l’article R2191-3 du CCP</w:t>
      </w:r>
      <w:r w:rsidRPr="0013414C">
        <w:rPr>
          <w:b/>
          <w:bCs/>
          <w:i/>
          <w:color w:val="0D0D0D" w:themeColor="text1" w:themeTint="F2"/>
        </w:rPr>
        <w:t>, sau</w:t>
      </w:r>
      <w:r w:rsidR="00C25BB7" w:rsidRPr="0013414C">
        <w:rPr>
          <w:b/>
          <w:bCs/>
          <w:i/>
          <w:color w:val="0D0D0D" w:themeColor="text1" w:themeTint="F2"/>
        </w:rPr>
        <w:t xml:space="preserve">f si le titulaire a indiqué sa </w:t>
      </w:r>
      <w:r w:rsidRPr="0013414C">
        <w:rPr>
          <w:b/>
          <w:bCs/>
          <w:i/>
          <w:color w:val="0D0D0D" w:themeColor="text1" w:themeTint="F2"/>
        </w:rPr>
        <w:t>volonté de ne pas en bénéficier</w:t>
      </w:r>
      <w:r w:rsidRPr="0013414C">
        <w:rPr>
          <w:i/>
          <w:color w:val="0D0D0D" w:themeColor="text1" w:themeTint="F2"/>
        </w:rPr>
        <w:t>.</w:t>
      </w:r>
    </w:p>
    <w:p w14:paraId="0F21D6FE" w14:textId="77777777" w:rsidR="0013414C" w:rsidRDefault="0013414C" w:rsidP="009844EC">
      <w:pPr>
        <w:pStyle w:val="Titre6"/>
        <w:spacing w:before="80"/>
        <w:jc w:val="both"/>
        <w:rPr>
          <w:color w:val="0D0D0D" w:themeColor="text1" w:themeTint="F2"/>
          <w:szCs w:val="16"/>
        </w:rPr>
      </w:pPr>
    </w:p>
    <w:p w14:paraId="20419336" w14:textId="77777777" w:rsidR="004E5C2A" w:rsidRPr="0013414C" w:rsidRDefault="004E5C2A" w:rsidP="009844EC">
      <w:pPr>
        <w:pStyle w:val="Titre6"/>
        <w:spacing w:before="80"/>
        <w:jc w:val="both"/>
        <w:rPr>
          <w:color w:val="0D0D0D" w:themeColor="text1" w:themeTint="F2"/>
          <w:szCs w:val="16"/>
        </w:rPr>
      </w:pPr>
      <w:r w:rsidRPr="0013414C">
        <w:rPr>
          <w:color w:val="0D0D0D" w:themeColor="text1" w:themeTint="F2"/>
          <w:szCs w:val="16"/>
        </w:rPr>
        <w:t xml:space="preserve">Article 5 – </w:t>
      </w:r>
      <w:r w:rsidRPr="0013414C">
        <w:rPr>
          <w:i/>
          <w:iCs/>
          <w:color w:val="0D0D0D" w:themeColor="text1" w:themeTint="F2"/>
          <w:szCs w:val="16"/>
        </w:rPr>
        <w:t>Sous-traitance</w:t>
      </w:r>
      <w:r w:rsidRPr="0013414C">
        <w:rPr>
          <w:color w:val="0D0D0D" w:themeColor="text1" w:themeTint="F2"/>
          <w:szCs w:val="16"/>
        </w:rPr>
        <w:t xml:space="preserve"> </w:t>
      </w:r>
    </w:p>
    <w:p w14:paraId="0EB941CB" w14:textId="77777777" w:rsidR="004E5C2A" w:rsidRPr="0013414C" w:rsidRDefault="004E5C2A" w:rsidP="009844EC">
      <w:pPr>
        <w:jc w:val="both"/>
        <w:rPr>
          <w:color w:val="0D0D0D" w:themeColor="text1" w:themeTint="F2"/>
        </w:rPr>
      </w:pPr>
    </w:p>
    <w:p w14:paraId="741DC94B" w14:textId="77777777" w:rsidR="004E5C2A" w:rsidRPr="0013414C" w:rsidRDefault="004E5C2A" w:rsidP="009844EC">
      <w:pPr>
        <w:jc w:val="both"/>
        <w:rPr>
          <w:b/>
          <w:bCs/>
          <w:color w:val="0D0D0D" w:themeColor="text1" w:themeTint="F2"/>
        </w:rPr>
      </w:pPr>
      <w:r w:rsidRPr="0013414C">
        <w:rPr>
          <w:color w:val="0D0D0D" w:themeColor="text1" w:themeTint="F2"/>
        </w:rPr>
        <w:t xml:space="preserve">La sous-traitance est régie par la loi n° 75-1334 du 31 décembre 1975 et le chapitre III du CCP. L'entrepreneur destinataire du bon de commande peut exceptionnellement sous-traiter partiellement le marché correspondant, à condition d’avoir préalablement obtenu de l’Université Paris-Saclay, l’acceptation du </w:t>
      </w:r>
      <w:proofErr w:type="spellStart"/>
      <w:r w:rsidRPr="0013414C">
        <w:rPr>
          <w:color w:val="0D0D0D" w:themeColor="text1" w:themeTint="F2"/>
        </w:rPr>
        <w:t>sous traitant</w:t>
      </w:r>
      <w:proofErr w:type="spellEnd"/>
      <w:r w:rsidRPr="0013414C">
        <w:rPr>
          <w:color w:val="0D0D0D" w:themeColor="text1" w:themeTint="F2"/>
        </w:rPr>
        <w:t xml:space="preserve"> et l’acception de ses conditions de paiement. L'acceptation par le représentant habilité de l’Université confère au sous-traitant le droit au paiement direct pour toute créance supérieure ou égale à 600 € TTC et dans la limite du montant du marché ou du montant du sous-traité.</w:t>
      </w:r>
      <w:r w:rsidRPr="0013414C">
        <w:rPr>
          <w:b/>
          <w:bCs/>
          <w:color w:val="0D0D0D" w:themeColor="text1" w:themeTint="F2"/>
        </w:rPr>
        <w:t xml:space="preserve"> </w:t>
      </w:r>
      <w:r w:rsidRPr="0013414C">
        <w:rPr>
          <w:b/>
          <w:bCs/>
          <w:i/>
          <w:color w:val="0D0D0D" w:themeColor="text1" w:themeTint="F2"/>
        </w:rPr>
        <w:t>Toute sous-traitance doit être déclarée au préalable au Service d’Hygiène et de Sécurité du Travail de l’Université Paris-Saclay, qui l’intégrera dans le plan de prévention.</w:t>
      </w:r>
    </w:p>
    <w:p w14:paraId="35C041D0" w14:textId="77777777" w:rsidR="004E5C2A" w:rsidRPr="003908DE" w:rsidRDefault="004E5C2A" w:rsidP="009844EC">
      <w:pPr>
        <w:pStyle w:val="Titre6"/>
        <w:spacing w:before="80"/>
        <w:jc w:val="both"/>
        <w:rPr>
          <w:i/>
          <w:iCs/>
          <w:color w:val="0D0D0D" w:themeColor="text1" w:themeTint="F2"/>
          <w:szCs w:val="16"/>
        </w:rPr>
      </w:pPr>
      <w:r w:rsidRPr="003908DE">
        <w:rPr>
          <w:color w:val="0D0D0D" w:themeColor="text1" w:themeTint="F2"/>
          <w:szCs w:val="16"/>
        </w:rPr>
        <w:t xml:space="preserve">Article </w:t>
      </w:r>
      <w:proofErr w:type="gramStart"/>
      <w:r w:rsidRPr="003908DE">
        <w:rPr>
          <w:color w:val="0D0D0D" w:themeColor="text1" w:themeTint="F2"/>
          <w:szCs w:val="16"/>
        </w:rPr>
        <w:t>6  –</w:t>
      </w:r>
      <w:proofErr w:type="gramEnd"/>
      <w:r w:rsidRPr="003908DE">
        <w:rPr>
          <w:color w:val="0D0D0D" w:themeColor="text1" w:themeTint="F2"/>
          <w:szCs w:val="16"/>
        </w:rPr>
        <w:t xml:space="preserve"> </w:t>
      </w:r>
      <w:r w:rsidRPr="003908DE">
        <w:rPr>
          <w:i/>
          <w:iCs/>
          <w:color w:val="0D0D0D" w:themeColor="text1" w:themeTint="F2"/>
          <w:szCs w:val="16"/>
        </w:rPr>
        <w:t>Garanties</w:t>
      </w:r>
    </w:p>
    <w:p w14:paraId="2BA998AA" w14:textId="77777777" w:rsidR="004E5C2A" w:rsidRPr="003908DE" w:rsidRDefault="004E5C2A" w:rsidP="009844EC">
      <w:pPr>
        <w:jc w:val="both"/>
        <w:rPr>
          <w:color w:val="0D0D0D" w:themeColor="text1" w:themeTint="F2"/>
        </w:rPr>
      </w:pPr>
    </w:p>
    <w:p w14:paraId="24526BE7" w14:textId="77777777" w:rsidR="004E5C2A" w:rsidRPr="003908DE" w:rsidRDefault="004E5C2A" w:rsidP="009844EC">
      <w:pPr>
        <w:jc w:val="both"/>
        <w:rPr>
          <w:color w:val="404040" w:themeColor="text1" w:themeTint="BF"/>
        </w:rPr>
      </w:pPr>
      <w:r w:rsidRPr="003908DE">
        <w:rPr>
          <w:b/>
          <w:bCs/>
          <w:color w:val="404040" w:themeColor="text1" w:themeTint="BF"/>
        </w:rPr>
        <w:t>Garantie contractuelle</w:t>
      </w:r>
      <w:r w:rsidRPr="003908DE">
        <w:rPr>
          <w:b/>
          <w:bCs/>
          <w:color w:val="404040" w:themeColor="text1" w:themeTint="BF"/>
          <w:szCs w:val="16"/>
        </w:rPr>
        <w:t xml:space="preserve"> - </w:t>
      </w:r>
      <w:r w:rsidRPr="003908DE">
        <w:rPr>
          <w:color w:val="404040" w:themeColor="text1" w:themeTint="BF"/>
        </w:rPr>
        <w:t>Sauf mentions contraires indiquées sur le bon de commande et ses annexes ou conditions plus favorables du titulaire, ce dernier applique toutes les garanties du CCAG de Travaux.</w:t>
      </w:r>
    </w:p>
    <w:p w14:paraId="090254F6" w14:textId="77777777" w:rsidR="004E5C2A" w:rsidRPr="0013414C" w:rsidRDefault="004E5C2A" w:rsidP="009844EC">
      <w:pPr>
        <w:jc w:val="both"/>
        <w:rPr>
          <w:color w:val="0D0D0D" w:themeColor="text1" w:themeTint="F2"/>
        </w:rPr>
      </w:pPr>
      <w:proofErr w:type="gramStart"/>
      <w:r w:rsidRPr="0013414C">
        <w:rPr>
          <w:b/>
          <w:bCs/>
          <w:color w:val="0D0D0D" w:themeColor="text1" w:themeTint="F2"/>
        </w:rPr>
        <w:t>Garanties  légales</w:t>
      </w:r>
      <w:proofErr w:type="gramEnd"/>
      <w:r w:rsidRPr="0013414C">
        <w:rPr>
          <w:b/>
          <w:bCs/>
          <w:color w:val="0D0D0D" w:themeColor="text1" w:themeTint="F2"/>
          <w:szCs w:val="16"/>
        </w:rPr>
        <w:t xml:space="preserve"> - </w:t>
      </w:r>
      <w:r w:rsidRPr="0013414C">
        <w:rPr>
          <w:color w:val="0D0D0D" w:themeColor="text1" w:themeTint="F2"/>
        </w:rPr>
        <w:t xml:space="preserve">Les garanties légales telles que définies aux articles L. 1641 et suivants du Code civil (vices cachés), L. 1386-1 et suivants du Code civil (défectuosité des produits) et L. 221-1 et suivants du Code de la consommation (obligation de sécurité) s’appliquent aux produits et prestations du présent bon de commande. </w:t>
      </w:r>
    </w:p>
    <w:p w14:paraId="39822541" w14:textId="77777777" w:rsidR="004E5C2A" w:rsidRPr="0013414C" w:rsidRDefault="004E5C2A" w:rsidP="009844EC">
      <w:pPr>
        <w:pStyle w:val="Titre6"/>
        <w:spacing w:before="80"/>
        <w:jc w:val="both"/>
        <w:rPr>
          <w:i/>
          <w:iCs/>
          <w:color w:val="0D0D0D" w:themeColor="text1" w:themeTint="F2"/>
          <w:szCs w:val="16"/>
        </w:rPr>
      </w:pPr>
      <w:r w:rsidRPr="0013414C">
        <w:rPr>
          <w:color w:val="0D0D0D" w:themeColor="text1" w:themeTint="F2"/>
          <w:szCs w:val="16"/>
        </w:rPr>
        <w:t xml:space="preserve">Article 7 - </w:t>
      </w:r>
      <w:r w:rsidRPr="0013414C">
        <w:rPr>
          <w:i/>
          <w:iCs/>
          <w:color w:val="0D0D0D" w:themeColor="text1" w:themeTint="F2"/>
          <w:szCs w:val="16"/>
        </w:rPr>
        <w:t>Dispositions particulières</w:t>
      </w:r>
    </w:p>
    <w:p w14:paraId="50DBF7D1" w14:textId="77777777" w:rsidR="004E5C2A" w:rsidRPr="0013414C" w:rsidRDefault="004E5C2A" w:rsidP="009844EC">
      <w:pPr>
        <w:jc w:val="both"/>
        <w:rPr>
          <w:color w:val="0D0D0D" w:themeColor="text1" w:themeTint="F2"/>
        </w:rPr>
      </w:pPr>
    </w:p>
    <w:p w14:paraId="21BEF886" w14:textId="77777777" w:rsidR="004E5C2A" w:rsidRPr="0013414C" w:rsidRDefault="004E5C2A" w:rsidP="009844EC">
      <w:pPr>
        <w:jc w:val="both"/>
        <w:rPr>
          <w:color w:val="0D0D0D" w:themeColor="text1" w:themeTint="F2"/>
        </w:rPr>
      </w:pPr>
      <w:r w:rsidRPr="0013414C">
        <w:rPr>
          <w:color w:val="0D0D0D" w:themeColor="text1" w:themeTint="F2"/>
        </w:rPr>
        <w:t xml:space="preserve">Le titulaire prend notamment les dispositions nécessaires à la protection des biens et équipements sur le lieu de son intervention. Il engage sa responsabilité en ce qui concerne les dégradations occasionnées dans le cadre de sa mission. Le titulaire se soumet aux conditions d’accès aux locaux et s’engage à respecter les consignes de sécurité. Il est soumis à des obligations de discrétion et de confidentialité concernant les renseignements ou informations qui pourraient être portés à sa connaissance. </w:t>
      </w:r>
    </w:p>
    <w:p w14:paraId="3651003A" w14:textId="77777777" w:rsidR="004E5C2A" w:rsidRPr="0013414C" w:rsidRDefault="004E5C2A" w:rsidP="009844EC">
      <w:pPr>
        <w:pStyle w:val="Titre6"/>
        <w:spacing w:before="80"/>
        <w:jc w:val="both"/>
        <w:rPr>
          <w:i/>
          <w:iCs/>
          <w:color w:val="0D0D0D" w:themeColor="text1" w:themeTint="F2"/>
          <w:szCs w:val="16"/>
        </w:rPr>
      </w:pPr>
      <w:r w:rsidRPr="0013414C">
        <w:rPr>
          <w:color w:val="0D0D0D" w:themeColor="text1" w:themeTint="F2"/>
          <w:szCs w:val="16"/>
        </w:rPr>
        <w:t xml:space="preserve">Article 8 – </w:t>
      </w:r>
      <w:r w:rsidRPr="0013414C">
        <w:rPr>
          <w:i/>
          <w:iCs/>
          <w:color w:val="0D0D0D" w:themeColor="text1" w:themeTint="F2"/>
          <w:szCs w:val="16"/>
        </w:rPr>
        <w:t>Assurance</w:t>
      </w:r>
    </w:p>
    <w:p w14:paraId="5C8278DA" w14:textId="77777777" w:rsidR="004E5C2A" w:rsidRPr="0013414C" w:rsidRDefault="004E5C2A" w:rsidP="009844EC">
      <w:pPr>
        <w:jc w:val="both"/>
        <w:rPr>
          <w:color w:val="0D0D0D" w:themeColor="text1" w:themeTint="F2"/>
        </w:rPr>
      </w:pPr>
    </w:p>
    <w:p w14:paraId="14631D7D" w14:textId="77777777" w:rsidR="004E5C2A" w:rsidRPr="0013414C" w:rsidRDefault="004E5C2A" w:rsidP="009844EC">
      <w:pPr>
        <w:jc w:val="both"/>
        <w:rPr>
          <w:color w:val="0D0D0D" w:themeColor="text1" w:themeTint="F2"/>
        </w:rPr>
      </w:pPr>
      <w:r w:rsidRPr="0013414C">
        <w:rPr>
          <w:color w:val="0D0D0D" w:themeColor="text1" w:themeTint="F2"/>
        </w:rPr>
        <w:t xml:space="preserve">Le titulaire doit avoir contracté une assurance, valable pour toute la durée d’exécution de la commande. L’assurance du titulaire doit </w:t>
      </w:r>
      <w:r w:rsidRPr="0013414C">
        <w:rPr>
          <w:b/>
          <w:bCs/>
          <w:color w:val="0D0D0D" w:themeColor="text1" w:themeTint="F2"/>
        </w:rPr>
        <w:t>garantir la responsabilité civile et la responsabilité décennale</w:t>
      </w:r>
      <w:r w:rsidRPr="0013414C">
        <w:rPr>
          <w:color w:val="0D0D0D" w:themeColor="text1" w:themeTint="F2"/>
        </w:rPr>
        <w:t xml:space="preserve">, en couvrant les dommages matériels, immatériels et corporels pouvant être causés à l’Université Paris-Saclay ainsi qu’aux tiers, par tout événement intervenant dans le cadre de l’exécution du bon de commande, et notamment par le fait du personnel, des collaborateurs ou des produits du titulaire, de façon à faire bénéficier l’Université Paris-Saclay, dans tous les cas de mise en jeu de la responsabilité du titulaire, d’une indemnisation pécuniaire. </w:t>
      </w:r>
    </w:p>
    <w:p w14:paraId="396EF32B" w14:textId="77777777" w:rsidR="004E5C2A" w:rsidRPr="0013414C" w:rsidRDefault="004E5C2A" w:rsidP="009844EC">
      <w:pPr>
        <w:pStyle w:val="Titre6"/>
        <w:spacing w:before="80"/>
        <w:jc w:val="both"/>
        <w:rPr>
          <w:i/>
          <w:iCs/>
          <w:color w:val="0D0D0D" w:themeColor="text1" w:themeTint="F2"/>
          <w:szCs w:val="16"/>
        </w:rPr>
      </w:pPr>
      <w:r w:rsidRPr="0013414C">
        <w:rPr>
          <w:color w:val="0D0D0D" w:themeColor="text1" w:themeTint="F2"/>
          <w:szCs w:val="16"/>
        </w:rPr>
        <w:t xml:space="preserve">Article 9 – </w:t>
      </w:r>
      <w:r w:rsidRPr="0013414C">
        <w:rPr>
          <w:i/>
          <w:iCs/>
          <w:color w:val="0D0D0D" w:themeColor="text1" w:themeTint="F2"/>
          <w:szCs w:val="16"/>
        </w:rPr>
        <w:t>Litige</w:t>
      </w:r>
    </w:p>
    <w:p w14:paraId="70737948" w14:textId="77777777" w:rsidR="004E5C2A" w:rsidRPr="0013414C" w:rsidRDefault="004E5C2A" w:rsidP="009844EC">
      <w:pPr>
        <w:jc w:val="both"/>
        <w:rPr>
          <w:color w:val="0D0D0D" w:themeColor="text1" w:themeTint="F2"/>
        </w:rPr>
      </w:pPr>
    </w:p>
    <w:p w14:paraId="1900B5FF" w14:textId="77777777" w:rsidR="004E5C2A" w:rsidRDefault="004E5C2A" w:rsidP="009844EC">
      <w:pPr>
        <w:spacing w:before="40"/>
        <w:jc w:val="both"/>
        <w:rPr>
          <w:rFonts w:ascii="Bookman Old Style" w:hAnsi="Bookman Old Style" w:cs="Bookman Old Style"/>
          <w:color w:val="0D0D0D" w:themeColor="text1" w:themeTint="F2"/>
          <w:sz w:val="14"/>
          <w:szCs w:val="14"/>
        </w:rPr>
      </w:pPr>
      <w:r w:rsidRPr="0013414C">
        <w:rPr>
          <w:color w:val="0D0D0D" w:themeColor="text1" w:themeTint="F2"/>
        </w:rPr>
        <w:t xml:space="preserve">Le droit applicable est le droit français. Les litiges éventuels seront soumis au </w:t>
      </w:r>
      <w:r w:rsidRPr="0013414C">
        <w:rPr>
          <w:b/>
          <w:color w:val="0D0D0D" w:themeColor="text1" w:themeTint="F2"/>
        </w:rPr>
        <w:t>Tribunal Administratif de Versailles</w:t>
      </w:r>
      <w:r w:rsidRPr="0013414C">
        <w:rPr>
          <w:rFonts w:ascii="Bookman Old Style" w:hAnsi="Bookman Old Style" w:cs="Bookman Old Style"/>
          <w:color w:val="0D0D0D" w:themeColor="text1" w:themeTint="F2"/>
          <w:sz w:val="14"/>
          <w:szCs w:val="14"/>
        </w:rPr>
        <w:t>.</w:t>
      </w:r>
    </w:p>
    <w:p w14:paraId="4B52AE69" w14:textId="77777777" w:rsidR="00E30D00" w:rsidRDefault="00E30D00" w:rsidP="009844EC">
      <w:pPr>
        <w:spacing w:before="40"/>
        <w:jc w:val="both"/>
        <w:rPr>
          <w:rFonts w:ascii="Bookman Old Style" w:hAnsi="Bookman Old Style" w:cs="Bookman Old Style"/>
          <w:color w:val="0D0D0D" w:themeColor="text1" w:themeTint="F2"/>
          <w:sz w:val="14"/>
          <w:szCs w:val="14"/>
        </w:rPr>
      </w:pPr>
    </w:p>
    <w:p w14:paraId="3DF9C384" w14:textId="77777777" w:rsidR="00E30D00" w:rsidRPr="00064C38" w:rsidRDefault="00E30D00" w:rsidP="00E30D00">
      <w:pPr>
        <w:tabs>
          <w:tab w:val="left" w:pos="5100"/>
        </w:tabs>
        <w:autoSpaceDE w:val="0"/>
        <w:autoSpaceDN w:val="0"/>
        <w:adjustRightInd w:val="0"/>
        <w:rPr>
          <w:b/>
          <w:szCs w:val="16"/>
        </w:rPr>
      </w:pPr>
      <w:r w:rsidRPr="00064C38">
        <w:rPr>
          <w:b/>
          <w:szCs w:val="16"/>
        </w:rPr>
        <w:t>Article 11 – Dérogation(s) aux documents généraux</w:t>
      </w:r>
    </w:p>
    <w:p w14:paraId="31CE82D5" w14:textId="77777777" w:rsidR="00E30D00" w:rsidRPr="0013414C" w:rsidRDefault="00E30D00" w:rsidP="009844EC">
      <w:pPr>
        <w:spacing w:before="40"/>
        <w:jc w:val="both"/>
        <w:rPr>
          <w:rFonts w:ascii="Bookman Old Style" w:hAnsi="Bookman Old Style" w:cs="Bookman Old Style"/>
          <w:color w:val="0D0D0D" w:themeColor="text1" w:themeTint="F2"/>
          <w:sz w:val="14"/>
          <w:szCs w:val="14"/>
        </w:rPr>
      </w:pPr>
    </w:p>
    <w:p w14:paraId="5A7E0416" w14:textId="77777777" w:rsidR="004E5C2A" w:rsidRPr="0013414C" w:rsidRDefault="004E5C2A" w:rsidP="009844EC">
      <w:pPr>
        <w:spacing w:before="40"/>
        <w:jc w:val="both"/>
        <w:rPr>
          <w:color w:val="0D0D0D" w:themeColor="text1" w:themeTint="F2"/>
          <w:szCs w:val="16"/>
        </w:rPr>
      </w:pPr>
    </w:p>
    <w:p w14:paraId="2F6FB09C" w14:textId="77777777" w:rsidR="004E5C2A" w:rsidRPr="0013414C" w:rsidRDefault="004E5C2A" w:rsidP="009844EC">
      <w:pPr>
        <w:spacing w:before="40"/>
        <w:jc w:val="both"/>
        <w:rPr>
          <w:color w:val="0D0D0D" w:themeColor="text1" w:themeTint="F2"/>
          <w:szCs w:val="16"/>
        </w:rPr>
      </w:pPr>
    </w:p>
    <w:p w14:paraId="6AD72ABC" w14:textId="77777777" w:rsidR="004E5C2A" w:rsidRPr="0013414C" w:rsidRDefault="004E5C2A" w:rsidP="009844EC">
      <w:pPr>
        <w:spacing w:before="40"/>
        <w:jc w:val="both"/>
        <w:rPr>
          <w:color w:val="0D0D0D" w:themeColor="text1" w:themeTint="F2"/>
          <w:szCs w:val="16"/>
        </w:rPr>
      </w:pPr>
      <w:r w:rsidRPr="0013414C">
        <w:rPr>
          <w:color w:val="0D0D0D" w:themeColor="text1" w:themeTint="F2"/>
          <w:szCs w:val="16"/>
        </w:rPr>
        <w:t xml:space="preserve">Le titulaire déclare avoir pris connaissance et accepté les termes de ces conditions générales d'achat.          </w:t>
      </w:r>
    </w:p>
    <w:p w14:paraId="5B8F54DF" w14:textId="77777777" w:rsidR="004E5C2A" w:rsidRPr="0013414C" w:rsidRDefault="004E5C2A" w:rsidP="009844EC">
      <w:pPr>
        <w:spacing w:before="40"/>
        <w:jc w:val="both"/>
        <w:rPr>
          <w:color w:val="0D0D0D" w:themeColor="text1" w:themeTint="F2"/>
          <w:szCs w:val="16"/>
        </w:rPr>
      </w:pPr>
      <w:r w:rsidRPr="0013414C">
        <w:rPr>
          <w:color w:val="0D0D0D" w:themeColor="text1" w:themeTint="F2"/>
          <w:szCs w:val="16"/>
        </w:rPr>
        <w:t>Fait à………………………………………, le        /      /        .</w:t>
      </w:r>
    </w:p>
    <w:p w14:paraId="24B7E27A" w14:textId="77777777" w:rsidR="004E5C2A" w:rsidRDefault="004E5C2A" w:rsidP="009844EC">
      <w:pPr>
        <w:spacing w:before="40"/>
        <w:jc w:val="both"/>
        <w:rPr>
          <w:szCs w:val="16"/>
        </w:rPr>
      </w:pPr>
      <w:r w:rsidRPr="0013414C">
        <w:rPr>
          <w:color w:val="0D0D0D" w:themeColor="text1" w:themeTint="F2"/>
          <w:szCs w:val="16"/>
        </w:rPr>
        <w:tab/>
      </w:r>
      <w:r w:rsidRPr="0013414C">
        <w:rPr>
          <w:color w:val="0D0D0D" w:themeColor="text1" w:themeTint="F2"/>
          <w:szCs w:val="16"/>
        </w:rPr>
        <w:tab/>
      </w:r>
      <w:r w:rsidRPr="0013414C">
        <w:rPr>
          <w:color w:val="0D0D0D" w:themeColor="text1" w:themeTint="F2"/>
          <w:szCs w:val="16"/>
        </w:rPr>
        <w:tab/>
      </w:r>
      <w:r w:rsidRPr="0013414C">
        <w:rPr>
          <w:color w:val="0D0D0D" w:themeColor="text1" w:themeTint="F2"/>
          <w:szCs w:val="16"/>
        </w:rPr>
        <w:tab/>
      </w:r>
      <w:r w:rsidRPr="0013414C">
        <w:rPr>
          <w:color w:val="0D0D0D" w:themeColor="text1" w:themeTint="F2"/>
          <w:szCs w:val="16"/>
        </w:rPr>
        <w:tab/>
      </w:r>
      <w:r w:rsidRPr="0013414C">
        <w:rPr>
          <w:color w:val="0D0D0D" w:themeColor="text1" w:themeTint="F2"/>
          <w:szCs w:val="16"/>
        </w:rPr>
        <w:tab/>
      </w:r>
      <w:r w:rsidRPr="0013414C">
        <w:rPr>
          <w:color w:val="0D0D0D" w:themeColor="text1" w:themeTint="F2"/>
          <w:szCs w:val="16"/>
        </w:rPr>
        <w:tab/>
      </w:r>
      <w:r w:rsidRPr="0013414C">
        <w:rPr>
          <w:color w:val="0D0D0D" w:themeColor="text1" w:themeTint="F2"/>
          <w:szCs w:val="16"/>
        </w:rPr>
        <w:tab/>
      </w:r>
      <w:r>
        <w:rPr>
          <w:szCs w:val="16"/>
        </w:rPr>
        <w:tab/>
      </w:r>
    </w:p>
    <w:p w14:paraId="3D7838A3" w14:textId="77777777" w:rsidR="004E5C2A" w:rsidRDefault="004E5C2A" w:rsidP="009844EC">
      <w:pPr>
        <w:spacing w:before="40"/>
        <w:jc w:val="both"/>
        <w:rPr>
          <w:szCs w:val="16"/>
        </w:rPr>
      </w:pPr>
    </w:p>
    <w:p w14:paraId="4821A8A5" w14:textId="77777777" w:rsidR="004E5C2A" w:rsidRDefault="004E5C2A" w:rsidP="009844EC">
      <w:pPr>
        <w:spacing w:before="40"/>
        <w:jc w:val="both"/>
        <w:rPr>
          <w:szCs w:val="16"/>
        </w:rPr>
      </w:pP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NOM :</w:t>
      </w:r>
    </w:p>
    <w:p w14:paraId="4E4F9D34" w14:textId="77777777" w:rsidR="004E5C2A" w:rsidRDefault="004E5C2A" w:rsidP="009844EC">
      <w:pPr>
        <w:spacing w:before="40"/>
        <w:jc w:val="both"/>
        <w:rPr>
          <w:szCs w:val="16"/>
        </w:rPr>
      </w:pPr>
      <w:r>
        <w:rPr>
          <w:szCs w:val="16"/>
        </w:rPr>
        <w:tab/>
      </w:r>
      <w:r>
        <w:rPr>
          <w:szCs w:val="16"/>
        </w:rPr>
        <w:tab/>
      </w:r>
      <w:r>
        <w:rPr>
          <w:szCs w:val="16"/>
        </w:rPr>
        <w:tab/>
      </w:r>
      <w:r>
        <w:rPr>
          <w:szCs w:val="16"/>
        </w:rPr>
        <w:tab/>
      </w:r>
      <w:r>
        <w:rPr>
          <w:szCs w:val="16"/>
        </w:rPr>
        <w:tab/>
      </w:r>
      <w:r>
        <w:rPr>
          <w:szCs w:val="16"/>
        </w:rPr>
        <w:tab/>
      </w:r>
      <w:r>
        <w:rPr>
          <w:szCs w:val="16"/>
        </w:rPr>
        <w:tab/>
      </w:r>
      <w:r>
        <w:rPr>
          <w:szCs w:val="16"/>
        </w:rPr>
        <w:tab/>
        <w:t xml:space="preserve">            Signature : </w:t>
      </w:r>
    </w:p>
    <w:p w14:paraId="5F4EB6DF" w14:textId="77777777" w:rsidR="004E5C2A" w:rsidRPr="00537481" w:rsidRDefault="004E5C2A" w:rsidP="009844EC">
      <w:pPr>
        <w:spacing w:before="40"/>
        <w:jc w:val="both"/>
        <w:rPr>
          <w:rFonts w:ascii="Bookman Old Style" w:hAnsi="Bookman Old Style" w:cs="Bookman Old Style"/>
          <w:sz w:val="14"/>
          <w:szCs w:val="14"/>
        </w:rPr>
      </w:pPr>
    </w:p>
    <w:p w14:paraId="69CA60D3" w14:textId="77777777" w:rsidR="00A064F3" w:rsidRDefault="00B7513C" w:rsidP="009844EC">
      <w:pPr>
        <w:jc w:val="both"/>
      </w:pPr>
    </w:p>
    <w:sectPr w:rsidR="00A064F3" w:rsidSect="004E5C2A">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53798" w14:textId="77777777" w:rsidR="00B7513C" w:rsidRDefault="00B7513C" w:rsidP="000C2D12">
      <w:r>
        <w:separator/>
      </w:r>
    </w:p>
  </w:endnote>
  <w:endnote w:type="continuationSeparator" w:id="0">
    <w:p w14:paraId="4D501432" w14:textId="77777777" w:rsidR="00B7513C" w:rsidRDefault="00B7513C" w:rsidP="000C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C87D" w14:textId="7F32F13B" w:rsidR="000C2D12" w:rsidRPr="00D93BB5" w:rsidRDefault="000C2D12" w:rsidP="000C2D12">
    <w:pPr>
      <w:pStyle w:val="Pieddepage"/>
      <w:jc w:val="center"/>
      <w:rPr>
        <w:szCs w:val="16"/>
      </w:rPr>
    </w:pPr>
    <w:r>
      <w:rPr>
        <w:szCs w:val="16"/>
      </w:rPr>
      <w:t>CGA Travaux</w:t>
    </w:r>
    <w:r w:rsidRPr="00D93BB5">
      <w:rPr>
        <w:szCs w:val="16"/>
      </w:rPr>
      <w:t xml:space="preserve"> – </w:t>
    </w:r>
    <w:r>
      <w:rPr>
        <w:szCs w:val="16"/>
      </w:rPr>
      <w:t>MAJ 1</w:t>
    </w:r>
    <w:r w:rsidR="00C35AE6">
      <w:rPr>
        <w:szCs w:val="16"/>
      </w:rPr>
      <w:t>0</w:t>
    </w:r>
    <w:r>
      <w:rPr>
        <w:szCs w:val="16"/>
      </w:rPr>
      <w:t>/05/202</w:t>
    </w:r>
    <w:r w:rsidR="00C35AE6">
      <w:rPr>
        <w:szCs w:val="16"/>
      </w:rPr>
      <w:t>3</w:t>
    </w:r>
  </w:p>
  <w:p w14:paraId="48213874" w14:textId="77777777" w:rsidR="000C2D12" w:rsidRDefault="000C2D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CAE1C" w14:textId="77777777" w:rsidR="00B7513C" w:rsidRDefault="00B7513C" w:rsidP="000C2D12">
      <w:r>
        <w:separator/>
      </w:r>
    </w:p>
  </w:footnote>
  <w:footnote w:type="continuationSeparator" w:id="0">
    <w:p w14:paraId="061E186E" w14:textId="77777777" w:rsidR="00B7513C" w:rsidRDefault="00B7513C" w:rsidP="000C2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32E81" w14:textId="42F1D9D1" w:rsidR="00681BBB" w:rsidRPr="00681BBB" w:rsidRDefault="00681BBB" w:rsidP="00681BBB">
    <w:pPr>
      <w:tabs>
        <w:tab w:val="center" w:pos="4536"/>
        <w:tab w:val="right" w:pos="9072"/>
      </w:tabs>
      <w:rPr>
        <w:rFonts w:ascii="Calibri" w:eastAsia="Calibri" w:hAnsi="Calibri"/>
        <w:sz w:val="22"/>
        <w:szCs w:val="22"/>
        <w:lang w:eastAsia="en-US"/>
      </w:rPr>
    </w:pPr>
    <w:r w:rsidRPr="00681BBB">
      <w:rPr>
        <w:rFonts w:ascii="Calibri" w:eastAsia="Calibri" w:hAnsi="Calibri"/>
        <w:noProof/>
        <w:sz w:val="22"/>
        <w:szCs w:val="22"/>
      </w:rPr>
      <w:drawing>
        <wp:inline distT="0" distB="0" distL="0" distR="0" wp14:anchorId="22FB52C6" wp14:editId="52CDCB58">
          <wp:extent cx="1118082" cy="503848"/>
          <wp:effectExtent l="0" t="0" r="6350" b="0"/>
          <wp:docPr id="1" name="Image 1" descr="C:\Users\mjandia\AppData\Local\Microsoft\Windows\INetCache\Content.Word\LOGO UPSACLAY-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andia\AppData\Local\Microsoft\Windows\INetCache\Content.Word\LOGO UPSACLAY-20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562" cy="508571"/>
                  </a:xfrm>
                  <a:prstGeom prst="rect">
                    <a:avLst/>
                  </a:prstGeom>
                  <a:noFill/>
                  <a:ln>
                    <a:noFill/>
                  </a:ln>
                </pic:spPr>
              </pic:pic>
            </a:graphicData>
          </a:graphic>
        </wp:inline>
      </w:drawing>
    </w:r>
  </w:p>
  <w:p w14:paraId="4AC52A3A" w14:textId="77777777" w:rsidR="00681BBB" w:rsidRDefault="00681BB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2A"/>
    <w:rsid w:val="000C2D12"/>
    <w:rsid w:val="0013414C"/>
    <w:rsid w:val="001D4856"/>
    <w:rsid w:val="002E2754"/>
    <w:rsid w:val="003908DE"/>
    <w:rsid w:val="00431151"/>
    <w:rsid w:val="004475A8"/>
    <w:rsid w:val="004E5C2A"/>
    <w:rsid w:val="00537E1F"/>
    <w:rsid w:val="00616167"/>
    <w:rsid w:val="00645822"/>
    <w:rsid w:val="00681BBB"/>
    <w:rsid w:val="006C221E"/>
    <w:rsid w:val="00767F3E"/>
    <w:rsid w:val="007C1958"/>
    <w:rsid w:val="007F264E"/>
    <w:rsid w:val="008B79F9"/>
    <w:rsid w:val="008D7BCD"/>
    <w:rsid w:val="00937E46"/>
    <w:rsid w:val="009844EC"/>
    <w:rsid w:val="00A54E18"/>
    <w:rsid w:val="00AA548E"/>
    <w:rsid w:val="00B7513C"/>
    <w:rsid w:val="00C159B7"/>
    <w:rsid w:val="00C25BB7"/>
    <w:rsid w:val="00C35AE6"/>
    <w:rsid w:val="00D7313E"/>
    <w:rsid w:val="00DA1F30"/>
    <w:rsid w:val="00E30D00"/>
    <w:rsid w:val="00FC2B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63856"/>
  <w15:chartTrackingRefBased/>
  <w15:docId w15:val="{B3D6A0B9-C22D-42AC-9B04-AE122208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C2A"/>
    <w:pPr>
      <w:spacing w:after="0" w:line="240" w:lineRule="auto"/>
    </w:pPr>
    <w:rPr>
      <w:rFonts w:eastAsia="Times New Roman" w:cs="Times New Roman"/>
      <w:sz w:val="16"/>
      <w:szCs w:val="24"/>
      <w:lang w:eastAsia="fr-FR"/>
    </w:rPr>
  </w:style>
  <w:style w:type="paragraph" w:styleId="Titre6">
    <w:name w:val="heading 6"/>
    <w:basedOn w:val="Normal"/>
    <w:next w:val="Normal"/>
    <w:link w:val="Titre6Car"/>
    <w:uiPriority w:val="99"/>
    <w:qFormat/>
    <w:rsid w:val="004E5C2A"/>
    <w:pPr>
      <w:keepNext/>
      <w:spacing w:before="120"/>
      <w:outlineLvl w:val="5"/>
    </w:pPr>
    <w:rPr>
      <w:rFonts w:cs="Bookman Old Style"/>
      <w:b/>
      <w:bCs/>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9"/>
    <w:rsid w:val="004E5C2A"/>
    <w:rPr>
      <w:rFonts w:eastAsia="Times New Roman" w:cs="Bookman Old Style"/>
      <w:b/>
      <w:bCs/>
      <w:sz w:val="16"/>
      <w:szCs w:val="17"/>
      <w:lang w:eastAsia="fr-FR"/>
    </w:rPr>
  </w:style>
  <w:style w:type="paragraph" w:styleId="Titre">
    <w:name w:val="Title"/>
    <w:basedOn w:val="Normal"/>
    <w:link w:val="TitreCar"/>
    <w:uiPriority w:val="99"/>
    <w:qFormat/>
    <w:rsid w:val="004E5C2A"/>
    <w:pPr>
      <w:jc w:val="center"/>
    </w:pPr>
    <w:rPr>
      <w:rFonts w:ascii="Arial" w:hAnsi="Arial" w:cs="Arial"/>
      <w:b/>
      <w:bCs/>
      <w:sz w:val="28"/>
      <w:szCs w:val="28"/>
    </w:rPr>
  </w:style>
  <w:style w:type="character" w:customStyle="1" w:styleId="TitreCar">
    <w:name w:val="Titre Car"/>
    <w:basedOn w:val="Policepardfaut"/>
    <w:link w:val="Titre"/>
    <w:uiPriority w:val="99"/>
    <w:rsid w:val="004E5C2A"/>
    <w:rPr>
      <w:rFonts w:ascii="Arial" w:eastAsia="Times New Roman" w:hAnsi="Arial" w:cs="Arial"/>
      <w:b/>
      <w:bCs/>
      <w:sz w:val="28"/>
      <w:szCs w:val="28"/>
      <w:lang w:eastAsia="fr-FR"/>
    </w:rPr>
  </w:style>
  <w:style w:type="paragraph" w:styleId="En-tte">
    <w:name w:val="header"/>
    <w:basedOn w:val="Normal"/>
    <w:link w:val="En-tteCar"/>
    <w:uiPriority w:val="99"/>
    <w:unhideWhenUsed/>
    <w:rsid w:val="000C2D12"/>
    <w:pPr>
      <w:tabs>
        <w:tab w:val="center" w:pos="4536"/>
        <w:tab w:val="right" w:pos="9072"/>
      </w:tabs>
    </w:pPr>
  </w:style>
  <w:style w:type="character" w:customStyle="1" w:styleId="En-tteCar">
    <w:name w:val="En-tête Car"/>
    <w:basedOn w:val="Policepardfaut"/>
    <w:link w:val="En-tte"/>
    <w:uiPriority w:val="99"/>
    <w:rsid w:val="000C2D12"/>
    <w:rPr>
      <w:rFonts w:eastAsia="Times New Roman" w:cs="Times New Roman"/>
      <w:sz w:val="16"/>
      <w:szCs w:val="24"/>
      <w:lang w:eastAsia="fr-FR"/>
    </w:rPr>
  </w:style>
  <w:style w:type="paragraph" w:styleId="Pieddepage">
    <w:name w:val="footer"/>
    <w:basedOn w:val="Normal"/>
    <w:link w:val="PieddepageCar"/>
    <w:uiPriority w:val="99"/>
    <w:unhideWhenUsed/>
    <w:rsid w:val="000C2D12"/>
    <w:pPr>
      <w:tabs>
        <w:tab w:val="center" w:pos="4536"/>
        <w:tab w:val="right" w:pos="9072"/>
      </w:tabs>
    </w:pPr>
  </w:style>
  <w:style w:type="character" w:customStyle="1" w:styleId="PieddepageCar">
    <w:name w:val="Pied de page Car"/>
    <w:basedOn w:val="Policepardfaut"/>
    <w:link w:val="Pieddepage"/>
    <w:uiPriority w:val="99"/>
    <w:rsid w:val="000C2D12"/>
    <w:rPr>
      <w:rFonts w:eastAsia="Times New Roman" w:cs="Times New Roman"/>
      <w:sz w:val="16"/>
      <w:szCs w:val="24"/>
      <w:lang w:eastAsia="fr-FR"/>
    </w:rPr>
  </w:style>
  <w:style w:type="character" w:styleId="Marquedecommentaire">
    <w:name w:val="annotation reference"/>
    <w:basedOn w:val="Policepardfaut"/>
    <w:uiPriority w:val="99"/>
    <w:semiHidden/>
    <w:unhideWhenUsed/>
    <w:rsid w:val="00FC2BEC"/>
    <w:rPr>
      <w:sz w:val="16"/>
      <w:szCs w:val="16"/>
    </w:rPr>
  </w:style>
  <w:style w:type="paragraph" w:styleId="Commentaire">
    <w:name w:val="annotation text"/>
    <w:basedOn w:val="Normal"/>
    <w:link w:val="CommentaireCar"/>
    <w:uiPriority w:val="99"/>
    <w:semiHidden/>
    <w:unhideWhenUsed/>
    <w:rsid w:val="00FC2BEC"/>
    <w:rPr>
      <w:sz w:val="20"/>
      <w:szCs w:val="20"/>
    </w:rPr>
  </w:style>
  <w:style w:type="character" w:customStyle="1" w:styleId="CommentaireCar">
    <w:name w:val="Commentaire Car"/>
    <w:basedOn w:val="Policepardfaut"/>
    <w:link w:val="Commentaire"/>
    <w:uiPriority w:val="99"/>
    <w:semiHidden/>
    <w:rsid w:val="00FC2BE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C2BEC"/>
    <w:rPr>
      <w:b/>
      <w:bCs/>
    </w:rPr>
  </w:style>
  <w:style w:type="character" w:customStyle="1" w:styleId="ObjetducommentaireCar">
    <w:name w:val="Objet du commentaire Car"/>
    <w:basedOn w:val="CommentaireCar"/>
    <w:link w:val="Objetducommentaire"/>
    <w:uiPriority w:val="99"/>
    <w:semiHidden/>
    <w:rsid w:val="00FC2BEC"/>
    <w:rPr>
      <w:rFonts w:eastAsia="Times New Roman" w:cs="Times New Roman"/>
      <w:b/>
      <w:bCs/>
      <w:sz w:val="20"/>
      <w:szCs w:val="20"/>
      <w:lang w:eastAsia="fr-FR"/>
    </w:rPr>
  </w:style>
  <w:style w:type="paragraph" w:styleId="Textedebulles">
    <w:name w:val="Balloon Text"/>
    <w:basedOn w:val="Normal"/>
    <w:link w:val="TextedebullesCar"/>
    <w:uiPriority w:val="99"/>
    <w:semiHidden/>
    <w:unhideWhenUsed/>
    <w:rsid w:val="00FC2BE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2BEC"/>
    <w:rPr>
      <w:rFonts w:ascii="Segoe UI" w:eastAsia="Times New Roman" w:hAnsi="Segoe UI" w:cs="Segoe UI"/>
      <w:sz w:val="18"/>
      <w:szCs w:val="18"/>
      <w:lang w:eastAsia="fr-FR"/>
    </w:rPr>
  </w:style>
  <w:style w:type="paragraph" w:customStyle="1" w:styleId="Normal2">
    <w:name w:val="Normal2"/>
    <w:basedOn w:val="Normal"/>
    <w:rsid w:val="008D7BCD"/>
    <w:pPr>
      <w:keepLines/>
      <w:tabs>
        <w:tab w:val="left" w:pos="567"/>
        <w:tab w:val="left" w:pos="851"/>
        <w:tab w:val="left" w:pos="1134"/>
      </w:tabs>
      <w:ind w:left="284" w:firstLine="284"/>
      <w:jc w:val="both"/>
    </w:pPr>
    <w:rPr>
      <w:rFonts w:ascii="Times New Roman" w:hAnsi="Times New Roman"/>
      <w:sz w:val="22"/>
      <w:szCs w:val="20"/>
    </w:rPr>
  </w:style>
  <w:style w:type="character" w:styleId="Lienhypertexte">
    <w:name w:val="Hyperlink"/>
    <w:basedOn w:val="Policepardfaut"/>
    <w:uiPriority w:val="99"/>
    <w:unhideWhenUsed/>
    <w:rsid w:val="00C159B7"/>
    <w:rPr>
      <w:color w:val="0563C1" w:themeColor="hyperlink"/>
      <w:u w:val="single"/>
    </w:rPr>
  </w:style>
  <w:style w:type="character" w:customStyle="1" w:styleId="UnresolvedMention">
    <w:name w:val="Unresolved Mention"/>
    <w:basedOn w:val="Policepardfaut"/>
    <w:uiPriority w:val="99"/>
    <w:semiHidden/>
    <w:unhideWhenUsed/>
    <w:rsid w:val="00C159B7"/>
    <w:rPr>
      <w:color w:val="605E5C"/>
      <w:shd w:val="clear" w:color="auto" w:fill="E1DFDD"/>
    </w:rPr>
  </w:style>
  <w:style w:type="character" w:styleId="Lienhypertextesuivivisit">
    <w:name w:val="FollowedHyperlink"/>
    <w:basedOn w:val="Policepardfaut"/>
    <w:uiPriority w:val="99"/>
    <w:semiHidden/>
    <w:unhideWhenUsed/>
    <w:rsid w:val="00C35A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jorf/id/JORFTEXT00004331042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688</TotalTime>
  <Pages>2</Pages>
  <Words>1487</Words>
  <Characters>8184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Allaire</dc:creator>
  <cp:keywords/>
  <dc:description/>
  <cp:lastModifiedBy>Myriam Jandia</cp:lastModifiedBy>
  <cp:revision>13</cp:revision>
  <dcterms:created xsi:type="dcterms:W3CDTF">2021-05-25T08:36:00Z</dcterms:created>
  <dcterms:modified xsi:type="dcterms:W3CDTF">2024-03-04T10:50:00Z</dcterms:modified>
</cp:coreProperties>
</file>