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CC" w:rsidRDefault="00BC4ECC">
      <w:pPr>
        <w:rPr>
          <w:rFonts w:ascii="Open Sans" w:hAnsi="Open Sans" w:cs="Open Sans"/>
        </w:rPr>
      </w:pPr>
    </w:p>
    <w:p w:rsidR="00BC4ECC" w:rsidRDefault="00657F5A">
      <w:pPr>
        <w:jc w:val="center"/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Appel à projet Tremplin2023</w:t>
      </w:r>
    </w:p>
    <w:p w:rsidR="00BC4ECC" w:rsidRDefault="00BC4ECC">
      <w:pPr>
        <w:jc w:val="center"/>
        <w:rPr>
          <w:rFonts w:ascii="Open Sans" w:hAnsi="Open Sans" w:cs="Open Sans"/>
        </w:rPr>
      </w:pPr>
    </w:p>
    <w:p w:rsidR="00BC4ECC" w:rsidRDefault="00657F5A">
      <w:pPr>
        <w:spacing w:line="240" w:lineRule="auto"/>
        <w:jc w:val="both"/>
        <w:rPr>
          <w:rFonts w:ascii="Open Sans" w:hAnsi="Open Sans" w:cs="Open Sans"/>
          <w:color w:val="63003C"/>
        </w:rPr>
      </w:pPr>
      <w:r>
        <w:rPr>
          <w:rFonts w:ascii="Open Sans" w:hAnsi="Open Sans" w:cs="Open Sans"/>
          <w:bCs/>
          <w:color w:val="63003C"/>
          <w:sz w:val="32"/>
          <w:szCs w:val="32"/>
        </w:rPr>
        <w:t>Cadrage</w:t>
      </w:r>
    </w:p>
    <w:p w:rsidR="00BC4ECC" w:rsidRDefault="00657F5A">
      <w:pPr>
        <w:spacing w:line="24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La </w:t>
      </w:r>
      <w:proofErr w:type="spellStart"/>
      <w:r>
        <w:rPr>
          <w:rFonts w:ascii="Open Sans" w:hAnsi="Open Sans" w:cs="Open Sans"/>
          <w:color w:val="000000"/>
        </w:rPr>
        <w:t>Graduate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School</w:t>
      </w:r>
      <w:proofErr w:type="spellEnd"/>
      <w:r>
        <w:rPr>
          <w:rFonts w:ascii="Open Sans" w:hAnsi="Open Sans" w:cs="Open Sans"/>
          <w:color w:val="000000"/>
        </w:rPr>
        <w:t xml:space="preserve"> « Géosciences, Climat, Environnement, Planètes » propose un instrument de financement doté d’une enveloppe maximum annuelle de 100 k</w:t>
      </w:r>
      <w:r>
        <w:rPr>
          <w:rFonts w:ascii="Open Sans" w:hAnsi="Open Sans" w:cs="Open Sans"/>
        </w:rPr>
        <w:t xml:space="preserve">€ </w:t>
      </w:r>
      <w:r>
        <w:rPr>
          <w:rFonts w:ascii="Open Sans" w:hAnsi="Open Sans" w:cs="Open Sans"/>
          <w:color w:val="000000"/>
        </w:rPr>
        <w:t xml:space="preserve">pour soutenir des projets structurants </w:t>
      </w:r>
      <w:r>
        <w:rPr>
          <w:rFonts w:ascii="Open Sans" w:hAnsi="Open Sans" w:cs="Open Sans"/>
          <w:color w:val="000000"/>
        </w:rPr>
        <w:t>entre les laboratoires de son périmètre. L’idée est de faire démarrer ou d’amplifier des actions qui ont un potentiel fédérateur au sein de la GS, et qui pourraient à moyen terme déboucher sur des demandes plus importantes (ANR, ERC, etc.). Cet appel souti</w:t>
      </w:r>
      <w:r>
        <w:rPr>
          <w:rFonts w:ascii="Open Sans" w:hAnsi="Open Sans" w:cs="Open Sans"/>
          <w:color w:val="000000"/>
        </w:rPr>
        <w:t>ent des projets demandant des financements entre 10 et 100 k</w:t>
      </w:r>
      <w:proofErr w:type="gramStart"/>
      <w:r>
        <w:rPr>
          <w:rFonts w:ascii="Open Sans" w:hAnsi="Open Sans" w:cs="Open Sans"/>
        </w:rPr>
        <w:t xml:space="preserve">€ </w:t>
      </w:r>
      <w:r>
        <w:rPr>
          <w:rFonts w:ascii="Open Sans" w:hAnsi="Open Sans" w:cs="Open Sans"/>
          <w:color w:val="000000"/>
        </w:rPr>
        <w:t xml:space="preserve"> pour</w:t>
      </w:r>
      <w:proofErr w:type="gramEnd"/>
      <w:r>
        <w:rPr>
          <w:rFonts w:ascii="Open Sans" w:hAnsi="Open Sans" w:cs="Open Sans"/>
          <w:color w:val="000000"/>
        </w:rPr>
        <w:t xml:space="preserve"> une durée de 12 mois à 36 mois. Les projets d’un an devront faire intervenir deux laboratoires de la GS au minimum. Les projets pluriannuels devront impliquer au moins trois laboratoires d</w:t>
      </w:r>
      <w:r>
        <w:rPr>
          <w:rFonts w:ascii="Open Sans" w:hAnsi="Open Sans" w:cs="Open Sans"/>
          <w:color w:val="000000"/>
        </w:rPr>
        <w:t xml:space="preserve">e la GS. </w:t>
      </w:r>
      <w:r>
        <w:rPr>
          <w:rFonts w:ascii="Open Sans" w:hAnsi="Open Sans" w:cs="Open Sans"/>
        </w:rPr>
        <w:t>Toute demande devra être visée par le directeur de l’unité du porteur et, le cas-échéant, par le ou les directeurs des unités associées au projet.</w:t>
      </w:r>
    </w:p>
    <w:p w:rsidR="00BC4ECC" w:rsidRDefault="00657F5A">
      <w:pPr>
        <w:pStyle w:val="Titre1"/>
        <w:rPr>
          <w:rFonts w:ascii="Open Sans" w:hAnsi="Open Sans" w:cs="Open Sans"/>
          <w:color w:val="63003C"/>
          <w:sz w:val="32"/>
        </w:rPr>
      </w:pPr>
      <w:r>
        <w:rPr>
          <w:rFonts w:ascii="Open Sans" w:hAnsi="Open Sans" w:cs="Open Sans"/>
          <w:color w:val="63003C"/>
          <w:sz w:val="32"/>
        </w:rPr>
        <w:t>Modalités et calendrier</w:t>
      </w:r>
    </w:p>
    <w:p w:rsidR="00BC4ECC" w:rsidRDefault="00657F5A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Les thématiques abordées dans les projets Tremplin2023 devront s’inscrire da</w:t>
      </w:r>
      <w:r>
        <w:rPr>
          <w:rFonts w:ascii="Open Sans" w:hAnsi="Open Sans" w:cs="Open Sans"/>
        </w:rPr>
        <w:t xml:space="preserve">ns les grands axes stratégiques de la GS (Enveloppe fluide et climats, géosciences pour l’environnement, Système solaire et planétologie, voir </w:t>
      </w:r>
      <w:hyperlink r:id="rId7" w:tooltip="https://www.universite-paris-saclay.fr/node/297748" w:history="1">
        <w:r>
          <w:rPr>
            <w:rStyle w:val="Lienhypertexte"/>
            <w:rFonts w:ascii="Open Sans" w:hAnsi="Open Sans" w:cs="Open Sans"/>
          </w:rPr>
          <w:t>ici</w:t>
        </w:r>
      </w:hyperlink>
      <w:r>
        <w:rPr>
          <w:rFonts w:ascii="Open Sans" w:hAnsi="Open Sans" w:cs="Open Sans"/>
        </w:rPr>
        <w:t xml:space="preserve"> et </w:t>
      </w:r>
      <w:hyperlink r:id="rId8" w:tooltip="https://www.universite-paris-saclay.fr/sites/default/files/2022-03/plaquette_gs_geosciences.pdf" w:history="1">
        <w:r>
          <w:rPr>
            <w:rStyle w:val="Lienhypertexte"/>
            <w:rFonts w:ascii="Open Sans" w:hAnsi="Open Sans" w:cs="Open Sans"/>
          </w:rPr>
          <w:t>là</w:t>
        </w:r>
      </w:hyperlink>
      <w:r>
        <w:rPr>
          <w:rFonts w:ascii="Open Sans" w:hAnsi="Open Sans" w:cs="Open Sans"/>
        </w:rPr>
        <w:t>) et les questions scien</w:t>
      </w:r>
      <w:r>
        <w:rPr>
          <w:rFonts w:ascii="Open Sans" w:hAnsi="Open Sans" w:cs="Open Sans"/>
        </w:rPr>
        <w:t xml:space="preserve">tifiques qui y sont </w:t>
      </w:r>
      <w:proofErr w:type="gramStart"/>
      <w:r>
        <w:rPr>
          <w:rFonts w:ascii="Open Sans" w:hAnsi="Open Sans" w:cs="Open Sans"/>
        </w:rPr>
        <w:t>associées</w:t>
      </w:r>
      <w:proofErr w:type="gramEnd"/>
      <w:r>
        <w:rPr>
          <w:rFonts w:ascii="Open Sans" w:hAnsi="Open Sans" w:cs="Open Sans"/>
        </w:rPr>
        <w:t xml:space="preserve">. Les projets pourront porter sur des dépenses de matériel, petit équipement, consommables, analyses, missions, frais de publication. </w:t>
      </w:r>
    </w:p>
    <w:p w:rsidR="00BC4ECC" w:rsidRDefault="00657F5A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Les projets pluriannuels pourront demander le financement d’un contrat postdoctoral de 18 mo</w:t>
      </w:r>
      <w:r>
        <w:rPr>
          <w:rFonts w:ascii="Open Sans" w:hAnsi="Open Sans" w:cs="Open Sans"/>
        </w:rPr>
        <w:t xml:space="preserve">is ou d’une ½ bourse de thèse. </w:t>
      </w:r>
    </w:p>
    <w:p w:rsidR="00BC4ECC" w:rsidRDefault="00657F5A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Les co-financements sont acceptés. Les projets </w:t>
      </w:r>
      <w:proofErr w:type="spellStart"/>
      <w:r>
        <w:rPr>
          <w:rFonts w:ascii="Open Sans" w:hAnsi="Open Sans" w:cs="Open Sans"/>
        </w:rPr>
        <w:t>pluri-annuels</w:t>
      </w:r>
      <w:proofErr w:type="spellEnd"/>
      <w:r>
        <w:rPr>
          <w:rFonts w:ascii="Open Sans" w:hAnsi="Open Sans" w:cs="Open Sans"/>
        </w:rPr>
        <w:t xml:space="preserve"> dont le coût total est supérieur à 100 k€ devront mentionner les co-financements dont ils disposent.</w:t>
      </w:r>
    </w:p>
    <w:p w:rsidR="00BC4ECC" w:rsidRDefault="00657F5A">
      <w:pPr>
        <w:spacing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color w:val="63003C"/>
        </w:rPr>
        <w:t>Exemples de propositions éligibles :</w:t>
      </w:r>
    </w:p>
    <w:p w:rsidR="00BC4ECC" w:rsidRDefault="00657F5A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exemple</w:t>
      </w:r>
      <w:proofErr w:type="gramEnd"/>
      <w:r>
        <w:rPr>
          <w:rFonts w:ascii="Open Sans" w:hAnsi="Open Sans" w:cs="Open Sans"/>
        </w:rPr>
        <w:t xml:space="preserve"> 1 : Projet sur 12</w:t>
      </w:r>
      <w:r>
        <w:rPr>
          <w:rFonts w:ascii="Open Sans" w:hAnsi="Open Sans" w:cs="Open Sans"/>
        </w:rPr>
        <w:t xml:space="preserve"> mois requérant 10 k€ pour l’achat de matériel, de l’analyse d’échantillons, des missions.</w:t>
      </w:r>
    </w:p>
    <w:p w:rsidR="00BC4ECC" w:rsidRDefault="00657F5A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exemple</w:t>
      </w:r>
      <w:proofErr w:type="gramEnd"/>
      <w:r>
        <w:rPr>
          <w:rFonts w:ascii="Open Sans" w:hAnsi="Open Sans" w:cs="Open Sans"/>
        </w:rPr>
        <w:t xml:space="preserve"> 2: Projet </w:t>
      </w:r>
      <w:proofErr w:type="spellStart"/>
      <w:r>
        <w:rPr>
          <w:rFonts w:ascii="Open Sans" w:hAnsi="Open Sans" w:cs="Open Sans"/>
        </w:rPr>
        <w:t>pluri-annuel</w:t>
      </w:r>
      <w:proofErr w:type="spellEnd"/>
      <w:r>
        <w:rPr>
          <w:rFonts w:ascii="Open Sans" w:hAnsi="Open Sans" w:cs="Open Sans"/>
        </w:rPr>
        <w:t xml:space="preserve"> de 36 mois requérant 80k€  pour une </w:t>
      </w:r>
      <w:proofErr w:type="spellStart"/>
      <w:r>
        <w:rPr>
          <w:rFonts w:ascii="Open Sans" w:hAnsi="Open Sans" w:cs="Open Sans"/>
        </w:rPr>
        <w:t>demi-bourse</w:t>
      </w:r>
      <w:proofErr w:type="spellEnd"/>
      <w:r>
        <w:rPr>
          <w:rFonts w:ascii="Open Sans" w:hAnsi="Open Sans" w:cs="Open Sans"/>
        </w:rPr>
        <w:t xml:space="preserve"> de thèse (60 k€ </w:t>
      </w:r>
      <w:r>
        <w:rPr>
          <w:rFonts w:ascii="Open Sans" w:eastAsia="Open Sans" w:hAnsi="Open Sans" w:cs="Open Sans"/>
          <w:color w:val="000000"/>
        </w:rPr>
        <w:t>pour une thèse en 2023-2026 ou 2024-2027</w:t>
      </w:r>
      <w:r>
        <w:rPr>
          <w:rFonts w:ascii="Open Sans" w:hAnsi="Open Sans" w:cs="Open Sans"/>
        </w:rPr>
        <w:t>) avec accompagnement</w:t>
      </w:r>
      <w:r>
        <w:rPr>
          <w:rFonts w:ascii="Open Sans" w:hAnsi="Open Sans" w:cs="Open Sans"/>
        </w:rPr>
        <w:t xml:space="preserve"> (frais de mission et publication).</w:t>
      </w:r>
    </w:p>
    <w:p w:rsidR="00BC4ECC" w:rsidRDefault="00657F5A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Les propositions doivent suivre la fiche associée </w:t>
      </w:r>
      <w:r>
        <w:rPr>
          <w:rFonts w:ascii="Open Sans" w:hAnsi="Open Sans" w:cs="Open Sans"/>
        </w:rPr>
        <w:t xml:space="preserve">à l’appel </w:t>
      </w:r>
      <w:r w:rsidR="00D92E95">
        <w:rPr>
          <w:rFonts w:ascii="Open Sans" w:hAnsi="Open Sans" w:cs="Open Sans"/>
        </w:rPr>
        <w:t xml:space="preserve">ci-après </w:t>
      </w:r>
      <w:r>
        <w:rPr>
          <w:rFonts w:ascii="Open Sans" w:hAnsi="Open Sans" w:cs="Open Sans"/>
        </w:rPr>
        <w:t>et seront évaluées sur les critères suivants :</w:t>
      </w:r>
    </w:p>
    <w:p w:rsidR="00BC4ECC" w:rsidRDefault="00657F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Intégration dans le périmètre thématique de la GS,</w:t>
      </w:r>
    </w:p>
    <w:p w:rsidR="00BC4ECC" w:rsidRDefault="00657F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Qualité scientifique et/ou technique,</w:t>
      </w:r>
    </w:p>
    <w:p w:rsidR="00BC4ECC" w:rsidRDefault="00657F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Impact potentiel du proj</w:t>
      </w:r>
      <w:r>
        <w:rPr>
          <w:rFonts w:ascii="Open Sans" w:hAnsi="Open Sans" w:cs="Open Sans"/>
        </w:rPr>
        <w:t xml:space="preserve">et sur la </w:t>
      </w:r>
      <w:proofErr w:type="spellStart"/>
      <w:r>
        <w:rPr>
          <w:rFonts w:ascii="Open Sans" w:hAnsi="Open Sans" w:cs="Open Sans"/>
        </w:rPr>
        <w:t>visibilite</w:t>
      </w:r>
      <w:proofErr w:type="spellEnd"/>
      <w:r>
        <w:rPr>
          <w:rFonts w:ascii="Open Sans" w:hAnsi="Open Sans" w:cs="Open Sans"/>
        </w:rPr>
        <w:t>́ nationale et internationale de l’</w:t>
      </w:r>
      <w:proofErr w:type="spellStart"/>
      <w:r>
        <w:rPr>
          <w:rFonts w:ascii="Open Sans" w:hAnsi="Open Sans" w:cs="Open Sans"/>
        </w:rPr>
        <w:t>Universite</w:t>
      </w:r>
      <w:proofErr w:type="spellEnd"/>
      <w:r>
        <w:rPr>
          <w:rFonts w:ascii="Open Sans" w:hAnsi="Open Sans" w:cs="Open Sans"/>
        </w:rPr>
        <w:t xml:space="preserve">́ Paris-Saclay, </w:t>
      </w:r>
    </w:p>
    <w:p w:rsidR="00BC4ECC" w:rsidRDefault="00657F5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Potentiel structurant </w:t>
      </w:r>
      <w:proofErr w:type="spellStart"/>
      <w:r>
        <w:rPr>
          <w:rFonts w:ascii="Open Sans" w:hAnsi="Open Sans" w:cs="Open Sans"/>
        </w:rPr>
        <w:t>interlaboratoires</w:t>
      </w:r>
      <w:proofErr w:type="spellEnd"/>
      <w:r>
        <w:rPr>
          <w:rFonts w:ascii="Open Sans" w:hAnsi="Open Sans" w:cs="Open Sans"/>
        </w:rPr>
        <w:t>.</w:t>
      </w:r>
    </w:p>
    <w:p w:rsidR="00BC4ECC" w:rsidRDefault="00657F5A">
      <w:pPr>
        <w:spacing w:line="240" w:lineRule="auto"/>
        <w:jc w:val="both"/>
        <w:rPr>
          <w:rFonts w:ascii="Open Sans" w:hAnsi="Open Sans" w:cs="Open Sans"/>
          <w:bCs/>
          <w:color w:val="C00000"/>
          <w:sz w:val="32"/>
          <w:szCs w:val="32"/>
        </w:rPr>
      </w:pPr>
      <w:r>
        <w:rPr>
          <w:rFonts w:ascii="Open Sans" w:hAnsi="Open Sans" w:cs="Open Sans"/>
          <w:bCs/>
          <w:color w:val="63003C"/>
          <w:sz w:val="32"/>
          <w:szCs w:val="32"/>
        </w:rPr>
        <w:t>Calendrier</w:t>
      </w:r>
    </w:p>
    <w:p w:rsidR="00BC4ECC" w:rsidRDefault="00657F5A">
      <w:pPr>
        <w:keepNext/>
        <w:keepLines/>
        <w:spacing w:line="240" w:lineRule="auto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Ouverture de l’appel : 12 avril 2023</w:t>
      </w:r>
    </w:p>
    <w:p w:rsidR="00BC4ECC" w:rsidRDefault="00657F5A">
      <w:pPr>
        <w:keepNext/>
        <w:keepLines/>
        <w:spacing w:line="240" w:lineRule="auto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Date limite de réception des projets : 15 mai 2023</w:t>
      </w:r>
    </w:p>
    <w:p w:rsidR="00BC4ECC" w:rsidRDefault="00657F5A">
      <w:pPr>
        <w:keepNext/>
        <w:keepLines/>
        <w:spacing w:line="240" w:lineRule="auto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Envoi des projets par mail à </w:t>
      </w:r>
      <w:hyperlink r:id="rId9" w:tooltip="mailto:aap.recherche.geosciences@universite-paris-saclay.fr" w:history="1">
        <w:r>
          <w:rPr>
            <w:rStyle w:val="Lienhypertexte"/>
            <w:rFonts w:ascii="Open Sans" w:hAnsi="Open Sans" w:cs="Open Sans"/>
            <w:b/>
            <w:bCs/>
          </w:rPr>
          <w:t>aap.recherche.geosciences@universite-paris-saclay.fr</w:t>
        </w:r>
      </w:hyperlink>
    </w:p>
    <w:p w:rsidR="00BC4ECC" w:rsidRDefault="00657F5A">
      <w:pPr>
        <w:keepNext/>
        <w:keepLines/>
        <w:spacing w:line="240" w:lineRule="auto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Évaluation par le conseil de la GS GCEP à l’été 2023.</w:t>
      </w:r>
    </w:p>
    <w:p w:rsidR="00BC4ECC" w:rsidRDefault="00BC4ECC">
      <w:pPr>
        <w:keepNext/>
        <w:keepLines/>
        <w:spacing w:line="240" w:lineRule="auto"/>
        <w:contextualSpacing/>
        <w:jc w:val="both"/>
        <w:rPr>
          <w:rFonts w:ascii="Open Sans" w:hAnsi="Open Sans" w:cs="Open Sans"/>
          <w:b/>
          <w:bCs/>
        </w:rPr>
      </w:pPr>
    </w:p>
    <w:p w:rsidR="00BC4ECC" w:rsidRDefault="00657F5A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inline distT="0" distB="0" distL="0" distR="0">
                <wp:extent cx="5760720" cy="1293495"/>
                <wp:effectExtent l="0" t="0" r="5080" b="3810"/>
                <wp:docPr id="2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60720" cy="1293495"/>
                        </a:xfrm>
                        <a:prstGeom prst="rect">
                          <a:avLst/>
                        </a:prstGeom>
                        <a:solidFill>
                          <a:srgbClr val="D5DB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4ECC" w:rsidRDefault="00657F5A">
                            <w:pPr>
                              <w:pStyle w:val="Titre1"/>
                              <w:spacing w:before="0" w:line="240" w:lineRule="auto"/>
                              <w:contextualSpacing/>
                              <w:rPr>
                                <w:rFonts w:ascii="Calibri" w:hAnsi="Calibri" w:cs="Calibri"/>
                                <w:color w:val="63003C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63003C"/>
                                <w:sz w:val="28"/>
                                <w:szCs w:val="20"/>
                              </w:rPr>
                              <w:t>Nous contacter</w:t>
                            </w:r>
                          </w:p>
                          <w:p w:rsidR="00BC4ECC" w:rsidRDefault="00657F5A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Directrice de la GS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GCEP: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tooltip="mailto:helene.brogniez@latmos.ipsl.fr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helene.brogniez@latmos.ipsl.fr</w:t>
                              </w:r>
                            </w:hyperlink>
                          </w:p>
                          <w:p w:rsidR="00BC4ECC" w:rsidRDefault="00657F5A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Directeur adjoint Recherche : </w:t>
                            </w:r>
                            <w:hyperlink r:id="rId11" w:tooltip="mailto:pierre.sepulchre@lsce.ipsl.fr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pierre.sepulchre@lsce.ipsl.fr</w:t>
                              </w:r>
                            </w:hyperlink>
                          </w:p>
                          <w:p w:rsidR="00BC4ECC" w:rsidRDefault="00657F5A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Manager recherche : </w:t>
                            </w:r>
                            <w:hyperlink r:id="rId12" w:tooltip="mailto:fanny.duret@universite-paris-saclay.fr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fanny.duret@universite-paris-saclay.fr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C4ECC" w:rsidRDefault="00657F5A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Page web des appels : </w:t>
                            </w:r>
                            <w:hyperlink r:id="rId13" w:tooltip="https://www.universite-paris-saclay.fr/appels-projets-de-la-gs-geosciences-climat-environnement-planetes-0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https://www.universite-paris-saclay.fr/appels-projets-de-la-gs-geosciences-climat-environnement-planetes-0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width:453.6pt;height:10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" fillcolor="#d5dbe0" stroked="f" strokeweight=".5pt">
                <v:textbox style="mso-fit-shape-to-text:t" inset="3mm,2mm,3mm,2mm">
                  <w:txbxContent>
                    <w:p w:rsidR="00BC4ECC" w:rsidRDefault="00657F5A">
                      <w:pPr>
                        <w:pStyle w:val="Titre1"/>
                        <w:spacing w:before="0" w:line="240" w:lineRule="auto"/>
                        <w:contextualSpacing/>
                        <w:rPr>
                          <w:rFonts w:ascii="Calibri" w:hAnsi="Calibri" w:cs="Calibri"/>
                          <w:color w:val="63003C"/>
                          <w:sz w:val="2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63003C"/>
                          <w:sz w:val="28"/>
                          <w:szCs w:val="20"/>
                        </w:rPr>
                        <w:t>Nous contacter</w:t>
                      </w:r>
                    </w:p>
                    <w:p w:rsidR="00BC4ECC" w:rsidRDefault="00657F5A">
                      <w:pPr>
                        <w:spacing w:line="240" w:lineRule="auto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Directrice de la GS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GCEP:</w:t>
                      </w:r>
                      <w:proofErr w:type="gram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hyperlink r:id="rId14" w:tooltip="mailto:helene.brogniez@latmos.ipsl.fr" w:history="1">
                        <w:r>
                          <w:rPr>
                            <w:rStyle w:val="Lienhypertexte"/>
                            <w:rFonts w:ascii="Calibri" w:hAnsi="Calibri" w:cs="Calibri"/>
                            <w:sz w:val="20"/>
                            <w:szCs w:val="20"/>
                          </w:rPr>
                          <w:t>helene.brogniez@latmos.ipsl.fr</w:t>
                        </w:r>
                      </w:hyperlink>
                    </w:p>
                    <w:p w:rsidR="00BC4ECC" w:rsidRDefault="00657F5A">
                      <w:pPr>
                        <w:spacing w:line="240" w:lineRule="auto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Directeur adjoint Recherche : </w:t>
                      </w:r>
                      <w:hyperlink r:id="rId15" w:tooltip="mailto:pierre.sepulchre@lsce.ipsl.fr" w:history="1">
                        <w:r>
                          <w:rPr>
                            <w:rStyle w:val="Lienhypertexte"/>
                            <w:rFonts w:ascii="Calibri" w:hAnsi="Calibri" w:cs="Calibri"/>
                            <w:sz w:val="20"/>
                            <w:szCs w:val="20"/>
                          </w:rPr>
                          <w:t>pierre.sepulchre@lsce.ipsl.fr</w:t>
                        </w:r>
                      </w:hyperlink>
                    </w:p>
                    <w:p w:rsidR="00BC4ECC" w:rsidRDefault="00657F5A">
                      <w:pPr>
                        <w:spacing w:line="240" w:lineRule="auto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Manager recherche : </w:t>
                      </w:r>
                      <w:hyperlink r:id="rId16" w:tooltip="mailto:fanny.duret@universite-paris-saclay.fr" w:history="1">
                        <w:r>
                          <w:rPr>
                            <w:rStyle w:val="Lienhypertexte"/>
                            <w:rFonts w:ascii="Calibri" w:hAnsi="Calibri" w:cs="Calibri"/>
                            <w:sz w:val="20"/>
                            <w:szCs w:val="20"/>
                          </w:rPr>
                          <w:t>fanny.duret@universite-paris-saclay.fr</w:t>
                        </w:r>
                      </w:hyperlink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C4ECC" w:rsidRDefault="00657F5A">
                      <w:pPr>
                        <w:spacing w:line="240" w:lineRule="auto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Page web des appels : </w:t>
                      </w:r>
                      <w:hyperlink r:id="rId17" w:tooltip="https://www.universite-paris-saclay.fr/appels-projets-de-la-gs-geosciences-climat-environnement-planetes-0" w:history="1">
                        <w:r>
                          <w:rPr>
                            <w:rStyle w:val="Lienhypertexte"/>
                            <w:rFonts w:ascii="Calibri" w:hAnsi="Calibri" w:cs="Calibri"/>
                            <w:sz w:val="20"/>
                            <w:szCs w:val="20"/>
                          </w:rPr>
                          <w:t>https://www.universite-paris-saclay.fr/appels-projets-de-la-gs-geosciences-climat-environnement-planetes-0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92E95" w:rsidRDefault="00D92E9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D92E95" w:rsidRDefault="00D92E95" w:rsidP="00D92E95">
      <w:pPr>
        <w:jc w:val="center"/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lastRenderedPageBreak/>
        <w:t>Appel à projet Tremplin2023</w:t>
      </w:r>
    </w:p>
    <w:p w:rsidR="00D92E95" w:rsidRDefault="00D92E95" w:rsidP="00D92E95">
      <w:pPr>
        <w:spacing w:before="240" w:after="120"/>
        <w:rPr>
          <w:rFonts w:ascii="Open Sans" w:hAnsi="Open Sans" w:cs="Open Sans"/>
          <w:b/>
          <w:bCs/>
          <w:color w:val="000000"/>
          <w:sz w:val="24"/>
        </w:rPr>
      </w:pPr>
      <w:r>
        <w:rPr>
          <w:rFonts w:ascii="Open Sans" w:hAnsi="Open Sans" w:cs="Open Sans"/>
          <w:b/>
          <w:bCs/>
          <w:color w:val="000000"/>
          <w:sz w:val="24"/>
        </w:rPr>
        <w:t xml:space="preserve">Titre du projet : </w:t>
      </w:r>
    </w:p>
    <w:p w:rsidR="00D92E95" w:rsidRDefault="00D92E95" w:rsidP="00D92E95">
      <w:pPr>
        <w:spacing w:after="240"/>
        <w:rPr>
          <w:rFonts w:ascii="Open Sans" w:hAnsi="Open Sans" w:cs="Open Sans"/>
          <w:b/>
          <w:bCs/>
          <w:color w:val="000000"/>
          <w:szCs w:val="20"/>
        </w:rPr>
      </w:pPr>
      <w:proofErr w:type="gramStart"/>
      <w:r>
        <w:rPr>
          <w:rFonts w:ascii="Open Sans" w:hAnsi="Open Sans" w:cs="Open Sans"/>
          <w:b/>
          <w:bCs/>
          <w:color w:val="000000"/>
          <w:szCs w:val="20"/>
        </w:rPr>
        <w:t>Acronyme:</w:t>
      </w:r>
      <w:proofErr w:type="gramEnd"/>
      <w:r>
        <w:rPr>
          <w:rFonts w:ascii="Open Sans" w:hAnsi="Open Sans" w:cs="Open Sans"/>
          <w:b/>
          <w:bCs/>
          <w:color w:val="000000"/>
          <w:szCs w:val="20"/>
        </w:rPr>
        <w:t xml:space="preserve"> </w:t>
      </w:r>
    </w:p>
    <w:p w:rsidR="00D92E95" w:rsidRDefault="00D92E95" w:rsidP="00D92E95">
      <w:pPr>
        <w:rPr>
          <w:rFonts w:ascii="Open Sans" w:hAnsi="Open Sans" w:cs="Open Sans"/>
          <w:color w:val="63003C"/>
          <w:szCs w:val="20"/>
        </w:rPr>
      </w:pPr>
      <w:r>
        <w:rPr>
          <w:rFonts w:ascii="Open Sans" w:hAnsi="Open Sans" w:cs="Open Sans"/>
          <w:color w:val="63003C"/>
          <w:szCs w:val="20"/>
        </w:rPr>
        <w:t>Responsable(s) du projet et partenaires</w:t>
      </w:r>
    </w:p>
    <w:p w:rsidR="00D92E95" w:rsidRDefault="00D92E95" w:rsidP="00D92E95">
      <w:pPr>
        <w:rPr>
          <w:rFonts w:ascii="Open Sans" w:hAnsi="Open Sans" w:cs="Open Sans"/>
          <w:color w:val="000000"/>
          <w:szCs w:val="20"/>
        </w:rPr>
      </w:pPr>
      <w:r>
        <w:rPr>
          <w:rFonts w:ascii="Open Sans" w:hAnsi="Open Sans" w:cs="Open Sans"/>
          <w:color w:val="000000"/>
          <w:szCs w:val="20"/>
        </w:rPr>
        <w:t>Prénom :</w:t>
      </w:r>
      <w:r>
        <w:rPr>
          <w:rFonts w:ascii="Open Sans" w:hAnsi="Open Sans" w:cs="Open Sans"/>
          <w:color w:val="000000"/>
          <w:szCs w:val="20"/>
        </w:rPr>
        <w:tab/>
      </w:r>
    </w:p>
    <w:p w:rsidR="00D92E95" w:rsidRDefault="00D92E95" w:rsidP="00D92E95">
      <w:pPr>
        <w:rPr>
          <w:rFonts w:ascii="Open Sans" w:hAnsi="Open Sans" w:cs="Open Sans"/>
          <w:color w:val="000000"/>
          <w:szCs w:val="20"/>
        </w:rPr>
      </w:pPr>
      <w:r>
        <w:rPr>
          <w:rFonts w:ascii="Open Sans" w:hAnsi="Open Sans" w:cs="Open Sans"/>
          <w:color w:val="000000"/>
          <w:szCs w:val="20"/>
        </w:rPr>
        <w:t>Nom :</w:t>
      </w:r>
      <w:r>
        <w:rPr>
          <w:rFonts w:ascii="Open Sans" w:hAnsi="Open Sans" w:cs="Open Sans"/>
          <w:color w:val="000000"/>
          <w:szCs w:val="20"/>
        </w:rPr>
        <w:tab/>
      </w:r>
      <w:r>
        <w:rPr>
          <w:rFonts w:ascii="Open Sans" w:hAnsi="Open Sans" w:cs="Open Sans"/>
          <w:color w:val="000000"/>
          <w:szCs w:val="20"/>
        </w:rPr>
        <w:tab/>
      </w:r>
    </w:p>
    <w:p w:rsidR="00D92E95" w:rsidRDefault="00D92E95" w:rsidP="00D92E95">
      <w:pPr>
        <w:rPr>
          <w:rFonts w:ascii="Open Sans" w:hAnsi="Open Sans" w:cs="Open Sans"/>
          <w:color w:val="000000"/>
          <w:szCs w:val="20"/>
        </w:rPr>
      </w:pPr>
      <w:r>
        <w:rPr>
          <w:rFonts w:ascii="Open Sans" w:hAnsi="Open Sans" w:cs="Open Sans"/>
          <w:color w:val="000000"/>
          <w:szCs w:val="20"/>
        </w:rPr>
        <w:t>Courriel :</w:t>
      </w:r>
      <w:r>
        <w:rPr>
          <w:rFonts w:ascii="Open Sans" w:hAnsi="Open Sans" w:cs="Open Sans"/>
          <w:color w:val="000000"/>
          <w:szCs w:val="20"/>
        </w:rPr>
        <w:tab/>
      </w:r>
    </w:p>
    <w:p w:rsidR="00D92E95" w:rsidRDefault="00D92E95" w:rsidP="00D92E95">
      <w:pPr>
        <w:rPr>
          <w:rFonts w:ascii="Open Sans" w:hAnsi="Open Sans" w:cs="Open Sans"/>
          <w:color w:val="000000"/>
          <w:szCs w:val="20"/>
        </w:rPr>
      </w:pPr>
      <w:r>
        <w:rPr>
          <w:rFonts w:ascii="Open Sans" w:hAnsi="Open Sans" w:cs="Open Sans"/>
          <w:color w:val="000000"/>
          <w:szCs w:val="20"/>
        </w:rPr>
        <w:t>Téléphone :</w:t>
      </w:r>
      <w:r>
        <w:rPr>
          <w:rFonts w:ascii="Open Sans" w:hAnsi="Open Sans" w:cs="Open Sans"/>
          <w:color w:val="000000"/>
          <w:szCs w:val="20"/>
        </w:rPr>
        <w:tab/>
      </w:r>
    </w:p>
    <w:p w:rsidR="00D92E95" w:rsidRDefault="00D92E95" w:rsidP="00D92E95">
      <w:pPr>
        <w:rPr>
          <w:rFonts w:ascii="Open Sans" w:hAnsi="Open Sans" w:cs="Open Sans"/>
          <w:color w:val="B21A42"/>
          <w:szCs w:val="20"/>
        </w:rPr>
      </w:pPr>
    </w:p>
    <w:p w:rsidR="00D92E95" w:rsidRDefault="00D92E95" w:rsidP="00D92E95">
      <w:pPr>
        <w:rPr>
          <w:rFonts w:ascii="Open Sans" w:hAnsi="Open Sans" w:cs="Open Sans"/>
          <w:color w:val="63003C"/>
          <w:szCs w:val="20"/>
        </w:rPr>
      </w:pPr>
      <w:r>
        <w:rPr>
          <w:rFonts w:ascii="Open Sans" w:hAnsi="Open Sans" w:cs="Open Sans"/>
          <w:color w:val="63003C"/>
          <w:szCs w:val="20"/>
        </w:rPr>
        <w:t>Autres unités associées</w:t>
      </w:r>
    </w:p>
    <w:p w:rsidR="00D92E95" w:rsidRDefault="00D92E95" w:rsidP="00D92E95">
      <w:pPr>
        <w:rPr>
          <w:rFonts w:ascii="Open Sans" w:hAnsi="Open Sans" w:cs="Open Sans"/>
          <w:color w:val="000000"/>
          <w:szCs w:val="20"/>
        </w:rPr>
      </w:pPr>
      <w:r>
        <w:rPr>
          <w:rFonts w:ascii="Open Sans" w:hAnsi="Open Sans" w:cs="Open Sans"/>
          <w:color w:val="000000"/>
          <w:szCs w:val="20"/>
        </w:rPr>
        <w:t>Unité :</w:t>
      </w:r>
    </w:p>
    <w:p w:rsidR="00D92E95" w:rsidRDefault="00D92E95" w:rsidP="00D92E95">
      <w:pPr>
        <w:rPr>
          <w:rFonts w:ascii="Open Sans" w:hAnsi="Open Sans" w:cs="Open Sans"/>
          <w:color w:val="000000"/>
          <w:szCs w:val="20"/>
        </w:rPr>
      </w:pPr>
      <w:r>
        <w:rPr>
          <w:rFonts w:ascii="Open Sans" w:hAnsi="Open Sans" w:cs="Open Sans"/>
          <w:color w:val="000000"/>
          <w:szCs w:val="20"/>
        </w:rPr>
        <w:t>Contact projet au sein de l’unité :</w:t>
      </w:r>
    </w:p>
    <w:p w:rsidR="00D92E95" w:rsidRDefault="00D92E95" w:rsidP="00D92E95">
      <w:pPr>
        <w:spacing w:after="80"/>
        <w:rPr>
          <w:rFonts w:ascii="Open Sans" w:hAnsi="Open Sans" w:cs="Open Sans"/>
          <w:color w:val="63003C"/>
          <w:szCs w:val="20"/>
        </w:rPr>
      </w:pPr>
    </w:p>
    <w:p w:rsidR="00D92E95" w:rsidRDefault="00D92E95" w:rsidP="00D92E95">
      <w:pPr>
        <w:rPr>
          <w:rFonts w:ascii="Open Sans" w:hAnsi="Open Sans" w:cs="Open Sans"/>
          <w:color w:val="63003C"/>
          <w:sz w:val="24"/>
        </w:rPr>
      </w:pPr>
      <w:r>
        <w:rPr>
          <w:rFonts w:ascii="Open Sans" w:hAnsi="Open Sans" w:cs="Open Sans"/>
          <w:color w:val="63003C"/>
          <w:szCs w:val="20"/>
        </w:rPr>
        <w:t xml:space="preserve">Visa du directeur de l’unité du porteur et, le cas-échéant, le ou les directeurs des unités associées au projets : </w:t>
      </w:r>
    </w:p>
    <w:p w:rsidR="00D92E95" w:rsidRDefault="00D92E95" w:rsidP="00D92E95">
      <w:pPr>
        <w:rPr>
          <w:rFonts w:ascii="Open Sans" w:hAnsi="Open Sans" w:cs="Open Sans"/>
          <w:color w:val="000000" w:themeColor="text1"/>
          <w:szCs w:val="20"/>
        </w:rPr>
      </w:pPr>
    </w:p>
    <w:p w:rsidR="00D92E95" w:rsidRDefault="00D92E95" w:rsidP="00D92E95">
      <w:pPr>
        <w:rPr>
          <w:rFonts w:ascii="Open Sans" w:hAnsi="Open Sans" w:cs="Open Sans"/>
          <w:color w:val="63003C"/>
          <w:szCs w:val="20"/>
        </w:rPr>
      </w:pPr>
      <w:r>
        <w:rPr>
          <w:rFonts w:ascii="Open Sans" w:hAnsi="Open Sans" w:cs="Open Sans"/>
          <w:color w:val="63003C"/>
          <w:szCs w:val="20"/>
        </w:rPr>
        <w:t>Axe recherche concerné :</w:t>
      </w:r>
    </w:p>
    <w:p w:rsidR="00D92E95" w:rsidRDefault="00D92E95" w:rsidP="00D92E95">
      <w:pPr>
        <w:rPr>
          <w:rFonts w:ascii="Open Sans" w:hAnsi="Open Sans" w:cs="Open Sans"/>
          <w:color w:val="B21A42"/>
          <w:szCs w:val="20"/>
        </w:rPr>
      </w:pPr>
      <w:r>
        <w:rPr>
          <w:rFonts w:ascii="Open Sans" w:hAnsi="Open Sans" w:cs="Open Sans"/>
          <w:color w:val="63003C"/>
          <w:szCs w:val="20"/>
        </w:rPr>
        <w:t>Budget prévisionnel</w:t>
      </w:r>
    </w:p>
    <w:tbl>
      <w:tblPr>
        <w:tblW w:w="9060" w:type="dxa"/>
        <w:tblLayout w:type="fixed"/>
        <w:tblCellMar>
          <w:left w:w="70" w:type="dxa"/>
          <w:right w:w="70" w:type="dxa"/>
        </w:tblCellMar>
        <w:tblLook w:val="0660" w:firstRow="1" w:lastRow="1" w:firstColumn="0" w:lastColumn="0" w:noHBand="1" w:noVBand="1"/>
      </w:tblPr>
      <w:tblGrid>
        <w:gridCol w:w="1695"/>
        <w:gridCol w:w="3541"/>
        <w:gridCol w:w="1417"/>
        <w:gridCol w:w="2407"/>
      </w:tblGrid>
      <w:tr w:rsidR="00D92E95" w:rsidTr="00D92E95">
        <w:trPr>
          <w:trHeight w:val="459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E48"/>
            <w:vAlign w:val="center"/>
            <w:hideMark/>
          </w:tcPr>
          <w:p w:rsidR="00D92E95" w:rsidRDefault="00D92E95">
            <w:pPr>
              <w:widowControl w:val="0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17"/>
                <w:szCs w:val="17"/>
              </w:rPr>
              <w:t xml:space="preserve">Nature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E48"/>
            <w:vAlign w:val="center"/>
            <w:hideMark/>
          </w:tcPr>
          <w:p w:rsidR="00D92E95" w:rsidRDefault="00D92E95">
            <w:pPr>
              <w:widowControl w:val="0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17"/>
                <w:szCs w:val="17"/>
              </w:rPr>
              <w:t xml:space="preserve">Description brève 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E48"/>
            <w:vAlign w:val="center"/>
            <w:hideMark/>
          </w:tcPr>
          <w:p w:rsidR="00D92E95" w:rsidRDefault="00D92E95">
            <w:pPr>
              <w:widowControl w:val="0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17"/>
                <w:szCs w:val="17"/>
              </w:rPr>
              <w:t xml:space="preserve">Montant demandé  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E48"/>
            <w:vAlign w:val="center"/>
            <w:hideMark/>
          </w:tcPr>
          <w:p w:rsidR="00D92E95" w:rsidRDefault="00D92E95">
            <w:pPr>
              <w:widowControl w:val="0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17"/>
                <w:szCs w:val="17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FFFFFF" w:themeColor="background1"/>
                <w:sz w:val="17"/>
                <w:szCs w:val="17"/>
                <w:lang w:val="en-US"/>
              </w:rPr>
              <w:t>Autres</w:t>
            </w:r>
            <w:proofErr w:type="spellEnd"/>
            <w:r>
              <w:rPr>
                <w:rFonts w:ascii="Open Sans" w:hAnsi="Open Sans" w:cs="Open Sans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FFFFFF" w:themeColor="background1"/>
                <w:sz w:val="17"/>
                <w:szCs w:val="17"/>
                <w:lang w:val="en-US"/>
              </w:rPr>
              <w:t>financements</w:t>
            </w:r>
            <w:proofErr w:type="spellEnd"/>
            <w:r>
              <w:rPr>
                <w:rFonts w:ascii="Open Sans" w:hAnsi="Open Sans" w:cs="Open Sans"/>
                <w:b/>
                <w:bCs/>
                <w:color w:val="FFFFFF" w:themeColor="background1"/>
                <w:sz w:val="17"/>
                <w:szCs w:val="17"/>
                <w:lang w:val="en-US"/>
              </w:rPr>
              <w:t xml:space="preserve"> </w:t>
            </w:r>
          </w:p>
        </w:tc>
      </w:tr>
      <w:tr w:rsidR="00D92E95" w:rsidTr="00D92E95">
        <w:trPr>
          <w:trHeight w:val="433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  <w:hideMark/>
          </w:tcPr>
          <w:p w:rsidR="00D92E95" w:rsidRDefault="00D92E95">
            <w:pPr>
              <w:widowControl w:val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Équipement</w: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</w:tcPr>
          <w:p w:rsidR="00D92E95" w:rsidRDefault="00D92E95">
            <w:pPr>
              <w:widowControl w:val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  <w:hideMark/>
          </w:tcPr>
          <w:p w:rsidR="00D92E95" w:rsidRDefault="00D92E95">
            <w:pPr>
              <w:widowControl w:val="0"/>
              <w:jc w:val="right"/>
              <w:rPr>
                <w:rFonts w:ascii="Open Sans" w:hAnsi="Open Sans" w:cs="Open Sans"/>
                <w:color w:val="313E48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</w:tcPr>
          <w:p w:rsidR="00D92E95" w:rsidRDefault="00D92E95">
            <w:pPr>
              <w:widowControl w:val="0"/>
              <w:jc w:val="right"/>
              <w:rPr>
                <w:rFonts w:ascii="Open Sans" w:hAnsi="Open Sans" w:cs="Open Sans"/>
                <w:color w:val="313E48"/>
                <w:sz w:val="18"/>
                <w:szCs w:val="18"/>
              </w:rPr>
            </w:pPr>
          </w:p>
        </w:tc>
      </w:tr>
      <w:tr w:rsidR="00D92E95" w:rsidTr="00D92E95">
        <w:trPr>
          <w:trHeight w:val="433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  <w:hideMark/>
          </w:tcPr>
          <w:p w:rsidR="00D92E95" w:rsidRDefault="00D92E95">
            <w:pPr>
              <w:widowControl w:val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Fonctionnement 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</w:tcPr>
          <w:p w:rsidR="00D92E95" w:rsidRDefault="00D92E95">
            <w:pPr>
              <w:widowControl w:val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  <w:hideMark/>
          </w:tcPr>
          <w:p w:rsidR="00D92E95" w:rsidRDefault="00D92E95">
            <w:pPr>
              <w:widowControl w:val="0"/>
              <w:jc w:val="right"/>
              <w:rPr>
                <w:rFonts w:ascii="Open Sans" w:hAnsi="Open Sans" w:cs="Open Sans"/>
                <w:color w:val="313E48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</w:tcPr>
          <w:p w:rsidR="00D92E95" w:rsidRDefault="00D92E95">
            <w:pPr>
              <w:widowControl w:val="0"/>
              <w:jc w:val="right"/>
              <w:rPr>
                <w:rFonts w:ascii="Open Sans" w:hAnsi="Open Sans" w:cs="Open Sans"/>
                <w:color w:val="313E48"/>
                <w:sz w:val="18"/>
                <w:szCs w:val="18"/>
              </w:rPr>
            </w:pPr>
          </w:p>
        </w:tc>
      </w:tr>
      <w:tr w:rsidR="00D92E95" w:rsidTr="00D92E95">
        <w:trPr>
          <w:trHeight w:val="433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  <w:hideMark/>
          </w:tcPr>
          <w:p w:rsidR="00D92E95" w:rsidRDefault="00D92E95">
            <w:pPr>
              <w:widowControl w:val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Personnel CDD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</w:tcPr>
          <w:p w:rsidR="00D92E95" w:rsidRDefault="00D92E95">
            <w:pPr>
              <w:widowControl w:val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  <w:hideMark/>
          </w:tcPr>
          <w:p w:rsidR="00D92E95" w:rsidRDefault="00D92E95">
            <w:pPr>
              <w:widowControl w:val="0"/>
              <w:jc w:val="right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</w:tcPr>
          <w:p w:rsidR="00D92E95" w:rsidRDefault="00D92E95">
            <w:pPr>
              <w:widowControl w:val="0"/>
              <w:jc w:val="right"/>
              <w:rPr>
                <w:rFonts w:ascii="Open Sans" w:hAnsi="Open Sans" w:cs="Open Sans"/>
                <w:color w:val="313E48"/>
                <w:sz w:val="18"/>
                <w:szCs w:val="18"/>
              </w:rPr>
            </w:pPr>
          </w:p>
        </w:tc>
      </w:tr>
      <w:tr w:rsidR="00D92E95" w:rsidTr="00D92E95">
        <w:trPr>
          <w:trHeight w:val="359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  <w:hideMark/>
          </w:tcPr>
          <w:p w:rsidR="00D92E95" w:rsidRDefault="00D92E95">
            <w:pPr>
              <w:widowControl w:val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</w:tcPr>
          <w:p w:rsidR="00D92E95" w:rsidRDefault="00D92E95">
            <w:pPr>
              <w:widowControl w:val="0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  <w:hideMark/>
          </w:tcPr>
          <w:p w:rsidR="00D92E95" w:rsidRDefault="00D92E95">
            <w:pPr>
              <w:widowControl w:val="0"/>
              <w:jc w:val="right"/>
              <w:rPr>
                <w:rFonts w:ascii="Open Sans" w:hAnsi="Open Sans" w:cs="Open Sans"/>
                <w:color w:val="313E48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lang w:val="en-US"/>
              </w:rPr>
              <w:t>0 000 €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0"/>
            <w:vAlign w:val="center"/>
          </w:tcPr>
          <w:p w:rsidR="00D92E95" w:rsidRDefault="00D92E95">
            <w:pPr>
              <w:widowControl w:val="0"/>
              <w:jc w:val="right"/>
              <w:rPr>
                <w:rFonts w:ascii="Open Sans" w:hAnsi="Open Sans" w:cs="Open Sans"/>
                <w:color w:val="313E48"/>
                <w:sz w:val="18"/>
                <w:szCs w:val="18"/>
              </w:rPr>
            </w:pPr>
          </w:p>
        </w:tc>
      </w:tr>
    </w:tbl>
    <w:p w:rsidR="00D92E95" w:rsidRDefault="00D92E95" w:rsidP="00D92E95">
      <w:pPr>
        <w:ind w:right="-709"/>
        <w:rPr>
          <w:rFonts w:ascii="Open Sans" w:hAnsi="Open Sans" w:cs="Open Sans"/>
          <w:color w:val="63003C"/>
        </w:rPr>
      </w:pPr>
      <w:r>
        <w:rPr>
          <w:rFonts w:ascii="Open Sans" w:hAnsi="Open Sans" w:cs="Open Sans"/>
          <w:color w:val="63003C"/>
          <w:sz w:val="18"/>
          <w:szCs w:val="18"/>
        </w:rPr>
        <w:t xml:space="preserve">Chaque ligne budgétaire est à détailler au maximum en regroupant les dépenses par nature. </w:t>
      </w:r>
    </w:p>
    <w:p w:rsidR="00D92E95" w:rsidRDefault="00D92E95" w:rsidP="00D92E95">
      <w:pPr>
        <w:rPr>
          <w:rFonts w:ascii="Open Sans" w:hAnsi="Open Sans" w:cs="Open Sans"/>
        </w:rPr>
      </w:pPr>
    </w:p>
    <w:p w:rsidR="00D92E95" w:rsidRDefault="00D92E95" w:rsidP="00D92E95">
      <w:pPr>
        <w:rPr>
          <w:rFonts w:ascii="Open Sans" w:hAnsi="Open Sans" w:cs="Open Sans"/>
        </w:rPr>
      </w:pPr>
    </w:p>
    <w:p w:rsidR="00D92E95" w:rsidRDefault="00D92E95" w:rsidP="00D92E95">
      <w:pPr>
        <w:rPr>
          <w:rFonts w:ascii="Open Sans" w:hAnsi="Open Sans" w:cs="Open Sans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D92E95" w:rsidTr="00D92E95">
        <w:trPr>
          <w:jc w:val="center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95" w:rsidRDefault="00D92E95">
            <w:pPr>
              <w:spacing w:before="120" w:after="60"/>
              <w:rPr>
                <w:rFonts w:ascii="Open Sans" w:hAnsi="Open Sans" w:cs="Open Sans"/>
                <w:color w:val="B21A42"/>
              </w:rPr>
            </w:pPr>
            <w:r>
              <w:rPr>
                <w:rFonts w:ascii="Open Sans" w:eastAsiaTheme="majorEastAsia" w:hAnsi="Open Sans" w:cs="Open Sans"/>
                <w:color w:val="63003C"/>
              </w:rPr>
              <w:t>Résumé de la proposition</w:t>
            </w:r>
          </w:p>
          <w:p w:rsidR="00D92E95" w:rsidRDefault="00D92E95">
            <w:pPr>
              <w:rPr>
                <w:rFonts w:ascii="Open Sans" w:hAnsi="Open Sans" w:cs="Open Sans"/>
                <w:color w:val="B21A42"/>
              </w:rPr>
            </w:pPr>
            <w:r>
              <w:rPr>
                <w:rFonts w:ascii="Open Sans" w:hAnsi="Open Sans" w:cs="Open Sans"/>
                <w:color w:val="000000"/>
                <w:szCs w:val="20"/>
              </w:rPr>
              <w:t xml:space="preserve">Texte </w:t>
            </w:r>
          </w:p>
          <w:p w:rsidR="00D92E95" w:rsidRDefault="00D92E95">
            <w:pPr>
              <w:widowControl w:val="0"/>
              <w:rPr>
                <w:rFonts w:ascii="Open Sans" w:hAnsi="Open Sans" w:cs="Open Sans"/>
                <w:color w:val="B21A42"/>
              </w:rPr>
            </w:pPr>
          </w:p>
        </w:tc>
      </w:tr>
      <w:tr w:rsidR="00D92E95" w:rsidTr="00D92E95">
        <w:trPr>
          <w:jc w:val="center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95" w:rsidRDefault="00D92E95">
            <w:pPr>
              <w:spacing w:before="120" w:after="60"/>
              <w:rPr>
                <w:rFonts w:ascii="Open Sans" w:hAnsi="Open Sans" w:cs="Open Sans"/>
                <w:color w:val="B21A42"/>
              </w:rPr>
            </w:pPr>
            <w:r>
              <w:rPr>
                <w:rFonts w:ascii="Open Sans" w:eastAsiaTheme="majorEastAsia" w:hAnsi="Open Sans" w:cs="Open Sans"/>
                <w:color w:val="63003C"/>
              </w:rPr>
              <w:t xml:space="preserve">Contexte scientifique </w:t>
            </w:r>
          </w:p>
          <w:p w:rsidR="00D92E95" w:rsidRDefault="00D92E95">
            <w:pPr>
              <w:rPr>
                <w:rFonts w:ascii="Open Sans" w:hAnsi="Open Sans" w:cs="Open Sans"/>
                <w:color w:val="B21A42"/>
              </w:rPr>
            </w:pPr>
            <w:r>
              <w:rPr>
                <w:rFonts w:ascii="Open Sans" w:hAnsi="Open Sans" w:cs="Open Sans"/>
                <w:color w:val="000000"/>
                <w:szCs w:val="20"/>
              </w:rPr>
              <w:t xml:space="preserve">Texte </w:t>
            </w:r>
          </w:p>
          <w:p w:rsidR="00D92E95" w:rsidRDefault="00D92E95">
            <w:pPr>
              <w:rPr>
                <w:rFonts w:ascii="Open Sans" w:hAnsi="Open Sans" w:cs="Open Sans"/>
                <w:color w:val="B21A42"/>
              </w:rPr>
            </w:pPr>
          </w:p>
        </w:tc>
      </w:tr>
      <w:tr w:rsidR="00D92E95" w:rsidTr="00D92E95">
        <w:trPr>
          <w:jc w:val="center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E95" w:rsidRDefault="00D92E95">
            <w:pPr>
              <w:spacing w:before="120" w:after="60"/>
              <w:rPr>
                <w:rFonts w:ascii="Open Sans" w:hAnsi="Open Sans" w:cs="Open Sans"/>
                <w:color w:val="63003C"/>
              </w:rPr>
            </w:pPr>
            <w:r>
              <w:rPr>
                <w:rFonts w:ascii="Open Sans" w:eastAsiaTheme="majorEastAsia" w:hAnsi="Open Sans" w:cs="Open Sans"/>
                <w:color w:val="63003C"/>
              </w:rPr>
              <w:t xml:space="preserve">Proposition </w:t>
            </w:r>
          </w:p>
          <w:p w:rsidR="00D92E95" w:rsidRDefault="00D92E95">
            <w:pPr>
              <w:rPr>
                <w:rFonts w:ascii="Open Sans" w:hAnsi="Open Sans" w:cs="Open Sans"/>
                <w:color w:val="B21A42"/>
              </w:rPr>
            </w:pPr>
            <w:r>
              <w:rPr>
                <w:rFonts w:ascii="Open Sans" w:hAnsi="Open Sans" w:cs="Open Sans"/>
                <w:color w:val="000000"/>
                <w:szCs w:val="20"/>
              </w:rPr>
              <w:t>Texte (5 pages maximum, figures et références incluses) doit inclure :</w:t>
            </w:r>
            <w:r>
              <w:rPr>
                <w:rFonts w:ascii="Open Sans" w:eastAsiaTheme="majorEastAsia" w:hAnsi="Open Sans" w:cs="Open Sans"/>
                <w:color w:val="B21A42"/>
              </w:rPr>
              <w:t xml:space="preserve"> </w:t>
            </w:r>
          </w:p>
          <w:p w:rsidR="00D92E95" w:rsidRDefault="00D92E95" w:rsidP="00D92E95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spacing w:before="120" w:after="60"/>
              <w:rPr>
                <w:rFonts w:ascii="Open Sans" w:hAnsi="Open Sans" w:cs="Open Sans"/>
              </w:rPr>
            </w:pPr>
            <w:r>
              <w:rPr>
                <w:rFonts w:ascii="Open Sans" w:eastAsiaTheme="majorEastAsia" w:hAnsi="Open Sans" w:cs="Open Sans"/>
              </w:rPr>
              <w:t xml:space="preserve">Organisation et plan de travail du projet </w:t>
            </w:r>
          </w:p>
          <w:p w:rsidR="00D92E95" w:rsidRDefault="00D92E95" w:rsidP="00D92E95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spacing w:before="120" w:after="60"/>
              <w:rPr>
                <w:rFonts w:ascii="Open Sans" w:hAnsi="Open Sans" w:cs="Open Sans"/>
              </w:rPr>
            </w:pPr>
            <w:r>
              <w:rPr>
                <w:rFonts w:ascii="Open Sans" w:eastAsiaTheme="majorEastAsia" w:hAnsi="Open Sans" w:cs="Open Sans"/>
              </w:rPr>
              <w:t>Synergie éventuelle entre les laboratoires </w:t>
            </w:r>
          </w:p>
          <w:p w:rsidR="00D92E95" w:rsidRDefault="00D92E95" w:rsidP="00D92E95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spacing w:before="120" w:after="60"/>
              <w:rPr>
                <w:rFonts w:ascii="Open Sans" w:hAnsi="Open Sans" w:cs="Open Sans"/>
              </w:rPr>
            </w:pPr>
            <w:r>
              <w:rPr>
                <w:rFonts w:ascii="Open Sans" w:eastAsiaTheme="majorEastAsia" w:hAnsi="Open Sans" w:cs="Open Sans"/>
              </w:rPr>
              <w:t xml:space="preserve">Composition et expertise des équipes </w:t>
            </w:r>
          </w:p>
          <w:p w:rsidR="00D92E95" w:rsidRDefault="00D92E95" w:rsidP="00D92E95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spacing w:before="120" w:after="60"/>
              <w:rPr>
                <w:rFonts w:ascii="Open Sans" w:hAnsi="Open Sans" w:cs="Open Sans"/>
              </w:rPr>
            </w:pPr>
            <w:r>
              <w:rPr>
                <w:rFonts w:ascii="Open Sans" w:eastAsiaTheme="majorEastAsia" w:hAnsi="Open Sans" w:cs="Open Sans"/>
              </w:rPr>
              <w:t>Besoin d’utilisation des plateformes (si pertinent) </w:t>
            </w:r>
          </w:p>
          <w:p w:rsidR="00D92E95" w:rsidRDefault="00D92E95">
            <w:pPr>
              <w:shd w:val="clear" w:color="auto" w:fill="FFFFFF"/>
              <w:spacing w:before="120" w:after="60"/>
              <w:rPr>
                <w:rFonts w:ascii="Open Sans" w:hAnsi="Open Sans" w:cs="Open Sans"/>
                <w:color w:val="000000"/>
                <w:szCs w:val="20"/>
              </w:rPr>
            </w:pPr>
          </w:p>
        </w:tc>
      </w:tr>
      <w:tr w:rsidR="00D92E95" w:rsidTr="00D92E95">
        <w:trPr>
          <w:jc w:val="center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E95" w:rsidRDefault="00D92E95">
            <w:pPr>
              <w:spacing w:before="120" w:after="60"/>
              <w:rPr>
                <w:rFonts w:ascii="Open Sans" w:hAnsi="Open Sans" w:cs="Open Sans"/>
                <w:color w:val="B21A42"/>
              </w:rPr>
            </w:pPr>
            <w:r>
              <w:rPr>
                <w:rFonts w:ascii="Open Sans" w:eastAsiaTheme="majorEastAsia" w:hAnsi="Open Sans" w:cs="Open Sans"/>
                <w:color w:val="63003C"/>
              </w:rPr>
              <w:t>Financement </w:t>
            </w:r>
          </w:p>
          <w:p w:rsidR="00D92E95" w:rsidRDefault="00D92E95">
            <w:pPr>
              <w:shd w:val="clear" w:color="auto" w:fill="FFFFFF"/>
              <w:spacing w:before="120" w:after="60"/>
              <w:rPr>
                <w:rFonts w:ascii="Open Sans" w:hAnsi="Open Sans" w:cs="Open Sans"/>
                <w:color w:val="B21A42"/>
              </w:rPr>
            </w:pPr>
            <w:r>
              <w:rPr>
                <w:rFonts w:ascii="Open Sans" w:hAnsi="Open Sans" w:cs="Open Sans"/>
                <w:color w:val="000000"/>
                <w:szCs w:val="20"/>
              </w:rPr>
              <w:t>Justification de la demande, Indiquez, si applicable, les autres sources de financement obtenues ou demandées.</w:t>
            </w:r>
          </w:p>
        </w:tc>
      </w:tr>
    </w:tbl>
    <w:p w:rsidR="00D92E95" w:rsidRDefault="00D92E95" w:rsidP="00D92E95">
      <w:pPr>
        <w:ind w:right="-2"/>
        <w:rPr>
          <w:rFonts w:ascii="Open Sans" w:hAnsi="Open Sans" w:cs="Open Sans"/>
          <w:sz w:val="16"/>
          <w:szCs w:val="20"/>
        </w:rPr>
      </w:pPr>
    </w:p>
    <w:p w:rsidR="00D92E95" w:rsidRDefault="00D92E95" w:rsidP="00D92E95">
      <w:pPr>
        <w:spacing w:after="80"/>
        <w:ind w:left="284"/>
        <w:jc w:val="center"/>
        <w:rPr>
          <w:rFonts w:ascii="Open Sans" w:hAnsi="Open Sans" w:cs="Open Sans"/>
          <w:color w:val="63003C"/>
          <w:szCs w:val="20"/>
        </w:rPr>
      </w:pPr>
      <w:r>
        <w:rPr>
          <w:rFonts w:ascii="Open Sans" w:hAnsi="Open Sans" w:cs="Open Sans"/>
          <w:color w:val="63003C"/>
          <w:szCs w:val="20"/>
        </w:rPr>
        <w:t xml:space="preserve">Le formulaire </w:t>
      </w:r>
      <w:proofErr w:type="gramStart"/>
      <w:r>
        <w:rPr>
          <w:rFonts w:ascii="Open Sans" w:hAnsi="Open Sans" w:cs="Open Sans"/>
          <w:color w:val="63003C"/>
          <w:szCs w:val="20"/>
        </w:rPr>
        <w:t>s'appellera:</w:t>
      </w:r>
      <w:proofErr w:type="gramEnd"/>
    </w:p>
    <w:p w:rsidR="00D92E95" w:rsidRDefault="00D92E95" w:rsidP="00D92E95">
      <w:pPr>
        <w:spacing w:after="120"/>
        <w:ind w:left="284"/>
        <w:jc w:val="center"/>
        <w:rPr>
          <w:rFonts w:ascii="Open Sans" w:hAnsi="Open Sans" w:cs="Open Sans"/>
          <w:color w:val="63003C"/>
          <w:szCs w:val="20"/>
        </w:rPr>
      </w:pPr>
      <w:r>
        <w:rPr>
          <w:rFonts w:ascii="Open Sans" w:hAnsi="Open Sans" w:cs="Open Sans"/>
          <w:color w:val="63003C"/>
          <w:szCs w:val="20"/>
        </w:rPr>
        <w:t>AAP-Tremplin2023-Acronyme-porteur.docx or .</w:t>
      </w:r>
      <w:proofErr w:type="spellStart"/>
      <w:r>
        <w:rPr>
          <w:rFonts w:ascii="Open Sans" w:hAnsi="Open Sans" w:cs="Open Sans"/>
          <w:color w:val="63003C"/>
          <w:szCs w:val="20"/>
        </w:rPr>
        <w:t>pdf</w:t>
      </w:r>
      <w:proofErr w:type="spellEnd"/>
    </w:p>
    <w:p w:rsidR="00D92E95" w:rsidRDefault="00D92E95" w:rsidP="00D92E95">
      <w:pPr>
        <w:spacing w:after="80"/>
        <w:ind w:left="284"/>
        <w:jc w:val="center"/>
        <w:rPr>
          <w:rFonts w:ascii="Open Sans" w:hAnsi="Open Sans" w:cs="Open Sans"/>
          <w:color w:val="63003C"/>
          <w:sz w:val="16"/>
          <w:szCs w:val="20"/>
        </w:rPr>
      </w:pPr>
      <w:r>
        <w:rPr>
          <w:rFonts w:ascii="Open Sans" w:hAnsi="Open Sans" w:cs="Open Sans"/>
          <w:color w:val="63003C"/>
          <w:sz w:val="16"/>
          <w:szCs w:val="20"/>
        </w:rPr>
        <w:t>(</w:t>
      </w:r>
      <w:proofErr w:type="gramStart"/>
      <w:r>
        <w:rPr>
          <w:rFonts w:ascii="Open Sans" w:hAnsi="Open Sans" w:cs="Open Sans"/>
          <w:color w:val="63003C"/>
          <w:sz w:val="16"/>
          <w:szCs w:val="20"/>
        </w:rPr>
        <w:t>où</w:t>
      </w:r>
      <w:proofErr w:type="gramEnd"/>
      <w:r>
        <w:rPr>
          <w:rFonts w:ascii="Open Sans" w:hAnsi="Open Sans" w:cs="Open Sans"/>
          <w:color w:val="63003C"/>
          <w:sz w:val="16"/>
          <w:szCs w:val="20"/>
        </w:rPr>
        <w:t xml:space="preserve"> Acronyme est le nom du projet, porteur est le nom du porteur).</w:t>
      </w:r>
    </w:p>
    <w:p w:rsidR="00D92E95" w:rsidRDefault="00D92E95" w:rsidP="00D92E95">
      <w:pPr>
        <w:spacing w:after="80"/>
        <w:ind w:left="284"/>
        <w:jc w:val="center"/>
        <w:rPr>
          <w:rFonts w:ascii="Open Sans" w:hAnsi="Open Sans" w:cs="Open Sans"/>
          <w:color w:val="FF0000"/>
          <w:sz w:val="16"/>
          <w:szCs w:val="20"/>
        </w:rPr>
      </w:pPr>
    </w:p>
    <w:p w:rsidR="00D92E95" w:rsidRDefault="00D92E95" w:rsidP="00D92E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Open Sans" w:hAnsi="Open Sans" w:cs="Open Sans"/>
          <w:color w:val="63003C"/>
          <w:szCs w:val="20"/>
        </w:rPr>
      </w:pPr>
      <w:r>
        <w:rPr>
          <w:rFonts w:ascii="Open Sans" w:hAnsi="Open Sans" w:cs="Open Sans"/>
          <w:color w:val="63003C"/>
          <w:szCs w:val="20"/>
        </w:rPr>
        <w:t xml:space="preserve">Ce formulaire devra être envoyé par mail à </w:t>
      </w:r>
    </w:p>
    <w:p w:rsidR="00D92E95" w:rsidRDefault="00D92E95" w:rsidP="00D92E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Open Sans" w:hAnsi="Open Sans" w:cs="Open Sans"/>
          <w:color w:val="63003C"/>
          <w:sz w:val="16"/>
          <w:szCs w:val="20"/>
        </w:rPr>
      </w:pPr>
      <w:r w:rsidRPr="00D92E95">
        <w:rPr>
          <w:rFonts w:ascii="Open Sans" w:hAnsi="Open Sans" w:cs="Open Sans"/>
          <w:color w:val="63003C"/>
          <w:szCs w:val="20"/>
        </w:rPr>
        <w:t>aap.recherche.geosciences@universite-paris-saclay.fr</w:t>
      </w:r>
    </w:p>
    <w:p w:rsidR="00D92E95" w:rsidRDefault="00D92E95" w:rsidP="00D92E95">
      <w:pPr>
        <w:jc w:val="center"/>
        <w:rPr>
          <w:rFonts w:ascii="Open Sans" w:hAnsi="Open Sans" w:cs="Open Sans"/>
          <w:color w:val="63003C"/>
          <w:sz w:val="32"/>
          <w:szCs w:val="44"/>
        </w:rPr>
      </w:pPr>
    </w:p>
    <w:p w:rsidR="00BC4ECC" w:rsidRDefault="00BC4ECC">
      <w:pPr>
        <w:rPr>
          <w:rFonts w:ascii="Open Sans" w:hAnsi="Open Sans" w:cs="Open Sans"/>
        </w:rPr>
      </w:pPr>
      <w:bookmarkStart w:id="0" w:name="_GoBack"/>
      <w:bookmarkEnd w:id="0"/>
    </w:p>
    <w:sectPr w:rsidR="00BC4ECC">
      <w:head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F5A" w:rsidRDefault="00657F5A">
      <w:pPr>
        <w:spacing w:after="0" w:line="240" w:lineRule="auto"/>
      </w:pPr>
      <w:r>
        <w:separator/>
      </w:r>
    </w:p>
  </w:endnote>
  <w:endnote w:type="continuationSeparator" w:id="0">
    <w:p w:rsidR="00657F5A" w:rsidRDefault="0065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F5A" w:rsidRDefault="00657F5A">
      <w:pPr>
        <w:spacing w:after="0" w:line="240" w:lineRule="auto"/>
      </w:pPr>
      <w:r>
        <w:separator/>
      </w:r>
    </w:p>
  </w:footnote>
  <w:footnote w:type="continuationSeparator" w:id="0">
    <w:p w:rsidR="00657F5A" w:rsidRDefault="0065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ECC" w:rsidRDefault="00657F5A">
    <w:pPr>
      <w:pStyle w:val="En-tte"/>
      <w:jc w:val="center"/>
    </w:pPr>
    <w:r>
      <w:rPr>
        <w:noProof/>
      </w:rPr>
      <mc:AlternateContent>
        <mc:Choice Requires="wpg">
          <w:drawing>
            <wp:anchor distT="0" distB="0" distL="115200" distR="115200" simplePos="0" relativeHeight="251659264" behindDoc="0" locked="0" layoutInCell="1" allowOverlap="1">
              <wp:simplePos x="0" y="0"/>
              <wp:positionH relativeFrom="column">
                <wp:posOffset>3440624</wp:posOffset>
              </wp:positionH>
              <wp:positionV relativeFrom="paragraph">
                <wp:posOffset>-264278</wp:posOffset>
              </wp:positionV>
              <wp:extent cx="2508505" cy="595516"/>
              <wp:effectExtent l="0" t="0" r="0" b="0"/>
              <wp:wrapTopAndBottom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8038173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08505" cy="5955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270.9pt;mso-position-horizontal:absolute;mso-position-vertical-relative:text;margin-top:-20.8pt;mso-position-vertical:absolute;width:197.5pt;height:46.9pt;mso-wrap-distance-left:9.1pt;mso-wrap-distance-top:0.0pt;mso-wrap-distance-right:9.1pt;mso-wrap-distance-bottom:0.0pt;" stroked="false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4D4"/>
    <w:multiLevelType w:val="hybridMultilevel"/>
    <w:tmpl w:val="7708C962"/>
    <w:lvl w:ilvl="0" w:tplc="4FFE2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4A5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5242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2A49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D7873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C7E83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2A852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3C39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72C0B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8089E"/>
    <w:multiLevelType w:val="hybridMultilevel"/>
    <w:tmpl w:val="80D4AF9C"/>
    <w:lvl w:ilvl="0" w:tplc="A96E7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0E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E7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45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C3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C5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4D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6DC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8D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AEA"/>
    <w:multiLevelType w:val="hybridMultilevel"/>
    <w:tmpl w:val="0960E182"/>
    <w:lvl w:ilvl="0" w:tplc="F2149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EE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E9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CB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49D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20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E5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61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EE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0AE9"/>
    <w:multiLevelType w:val="hybridMultilevel"/>
    <w:tmpl w:val="9C9CA434"/>
    <w:lvl w:ilvl="0" w:tplc="DC983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41D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5E0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CD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C1D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E8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0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ADA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63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74AC0"/>
    <w:multiLevelType w:val="hybridMultilevel"/>
    <w:tmpl w:val="BC7438AA"/>
    <w:lvl w:ilvl="0" w:tplc="549EA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28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C8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CF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EE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CA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8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62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29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74215"/>
    <w:multiLevelType w:val="hybridMultilevel"/>
    <w:tmpl w:val="B76ADACE"/>
    <w:lvl w:ilvl="0" w:tplc="A496C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4E2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C9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CC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C7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CE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F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87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27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D0035"/>
    <w:multiLevelType w:val="hybridMultilevel"/>
    <w:tmpl w:val="1E6C54F0"/>
    <w:lvl w:ilvl="0" w:tplc="11AA2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55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CD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4E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22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B4D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C0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E08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26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CC"/>
    <w:rsid w:val="002F6BC0"/>
    <w:rsid w:val="00657F5A"/>
    <w:rsid w:val="00BC4ECC"/>
    <w:rsid w:val="00D9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6F65"/>
  <w15:docId w15:val="{E9396D7C-BEA3-49F8-8442-7E8D3306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-paris-saclay.fr/sites/default/files/2022-03/plaquette_gs_geosciences.pdf" TargetMode="External"/><Relationship Id="rId13" Type="http://schemas.openxmlformats.org/officeDocument/2006/relationships/hyperlink" Target="https://www.universite-paris-saclay.fr/appels-projets-de-la-gs-geosciences-climat-environnement-planetes-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versite-paris-saclay.fr/node/297748" TargetMode="External"/><Relationship Id="rId12" Type="http://schemas.openxmlformats.org/officeDocument/2006/relationships/hyperlink" Target="mailto:fanny.duret@universite-paris-saclay.fr" TargetMode="External"/><Relationship Id="rId17" Type="http://schemas.openxmlformats.org/officeDocument/2006/relationships/hyperlink" Target="https://www.universite-paris-saclay.fr/appels-projets-de-la-gs-geosciences-climat-environnement-planetes-0" TargetMode="External"/><Relationship Id="rId2" Type="http://schemas.openxmlformats.org/officeDocument/2006/relationships/styles" Target="styles.xml"/><Relationship Id="rId16" Type="http://schemas.openxmlformats.org/officeDocument/2006/relationships/hyperlink" Target="mailto:fanny.duret@universite-paris-saclay.f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erre.sepulchre@lsce.ipsl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ierre.sepulchre@lsce.ipsl.fr" TargetMode="External"/><Relationship Id="rId10" Type="http://schemas.openxmlformats.org/officeDocument/2006/relationships/hyperlink" Target="mailto:helene.brogniez@latmos.ipsl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ap.recherche.geosciences@universite-paris-saclay.fr" TargetMode="External"/><Relationship Id="rId14" Type="http://schemas.openxmlformats.org/officeDocument/2006/relationships/hyperlink" Target="mailto:helene.brogniez@latmos.ips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LSCE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Fanny Duret</dc:creator>
  <cp:lastModifiedBy>Fanny Duret</cp:lastModifiedBy>
  <cp:revision>3</cp:revision>
  <dcterms:created xsi:type="dcterms:W3CDTF">2023-04-12T16:00:00Z</dcterms:created>
  <dcterms:modified xsi:type="dcterms:W3CDTF">2023-04-12T16:03:00Z</dcterms:modified>
</cp:coreProperties>
</file>