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2" name="Image 12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DE6E71" w:rsidRDefault="00DE6E71" w:rsidP="00DE6E71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BIATSS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Chimie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DE6E71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>elle devra être envoyée par voie électronique ou par dépôt au plus tard le</w:t>
      </w:r>
      <w:r w:rsidR="00DE6E71">
        <w:rPr>
          <w:rFonts w:ascii="Calibri" w:hAnsi="Calibri" w:cs="Arial"/>
          <w:sz w:val="18"/>
          <w:szCs w:val="18"/>
        </w:rPr>
        <w:t xml:space="preserve"> 11 janvier 2021</w:t>
      </w:r>
      <w:r w:rsidRPr="00054AE9">
        <w:rPr>
          <w:rFonts w:ascii="Calibri" w:hAnsi="Calibri" w:cs="Arial"/>
          <w:sz w:val="18"/>
          <w:szCs w:val="18"/>
        </w:rPr>
        <w:t xml:space="preserve">, à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2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3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Pr="009402E3" w:rsidRDefault="00583DDF" w:rsidP="00797668">
      <w:pPr>
        <w:rPr>
          <w:rFonts w:ascii="Calibri" w:hAnsi="Calibri" w:cs="Arial"/>
          <w:i/>
          <w:noProof/>
          <w:sz w:val="18"/>
          <w:szCs w:val="14"/>
        </w:rPr>
      </w:pPr>
      <w:bookmarkStart w:id="0" w:name="_GoBack"/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Doivent représenter au moins :</w:t>
      </w:r>
    </w:p>
    <w:p w:rsidR="00583DDF" w:rsidRPr="009402E3" w:rsidRDefault="00583DDF" w:rsidP="00797668">
      <w:pPr>
        <w:rPr>
          <w:rFonts w:ascii="Calibri" w:hAnsi="Calibri" w:cs="Arial"/>
          <w:i/>
          <w:noProof/>
          <w:sz w:val="18"/>
          <w:szCs w:val="14"/>
        </w:rPr>
      </w:pPr>
      <w:r w:rsidRPr="009402E3">
        <w:rPr>
          <w:rFonts w:ascii="Calibri" w:hAnsi="Calibri" w:cs="Arial"/>
          <w:i/>
          <w:noProof/>
          <w:sz w:val="18"/>
          <w:szCs w:val="14"/>
        </w:rPr>
        <w:t>Une composante universitaire de l’Université Paris-Saclay ou d’une université membre-associé, ou un établissement-composante ;</w:t>
      </w:r>
    </w:p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 w:rsidRPr="009402E3">
        <w:rPr>
          <w:rFonts w:ascii="Calibri" w:hAnsi="Calibri" w:cs="Arial"/>
          <w:i/>
          <w:noProof/>
          <w:sz w:val="18"/>
          <w:szCs w:val="14"/>
        </w:rPr>
        <w:t>ET un organisme de recherche ou national de recherche.</w:t>
      </w:r>
    </w:p>
    <w:bookmarkEnd w:id="0"/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:rsidR="00583DDF" w:rsidRPr="007B2B81" w:rsidRDefault="00583DDF" w:rsidP="00027058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583DDF" w:rsidRPr="007B2B81" w:rsidSect="0002705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1F780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1F780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27058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1F7806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1B1F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AF7FB6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E6E71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6C6E-C960-48AF-9167-D217AC0B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2374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5</cp:revision>
  <cp:lastPrinted>2014-02-19T11:13:00Z</cp:lastPrinted>
  <dcterms:created xsi:type="dcterms:W3CDTF">2020-11-06T14:38:00Z</dcterms:created>
  <dcterms:modified xsi:type="dcterms:W3CDTF">2020-11-13T11:18:00Z</dcterms:modified>
</cp:coreProperties>
</file>